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6" w:name="_Toc127439741"/>
      <w:r w:rsidR="00BB7332">
        <w:t>sukladno članku 284. ZJN 2016.</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D65F58" w:rsidRDefault="00D65F58" w:rsidP="00D65F58">
      <w:pPr>
        <w:numPr>
          <w:ilvl w:val="0"/>
          <w:numId w:val="1"/>
        </w:numPr>
        <w:spacing w:before="0" w:line="276" w:lineRule="auto"/>
      </w:pPr>
      <w:r>
        <w:t xml:space="preserve">Duljina jamstvenog roka </w:t>
      </w:r>
      <w:r w:rsidR="000B7CE6">
        <w:t>–</w:t>
      </w:r>
      <w:r>
        <w:t xml:space="preserve"> JR</w:t>
      </w:r>
      <w:r w:rsidR="000B7CE6">
        <w:t xml:space="preserve"> </w:t>
      </w:r>
    </w:p>
    <w:p w:rsidR="004956B1" w:rsidRPr="00946BEE" w:rsidRDefault="004956B1" w:rsidP="004956B1">
      <w:pPr>
        <w:pStyle w:val="Odlomakpopisa"/>
        <w:numPr>
          <w:ilvl w:val="0"/>
          <w:numId w:val="1"/>
        </w:numPr>
      </w:pPr>
      <w:r w:rsidRPr="004956B1">
        <w:t>Dodatni kriterij kvalitete - DKK</w:t>
      </w:r>
    </w:p>
    <w:p w:rsidR="0066553C" w:rsidRPr="00BB7332" w:rsidRDefault="0066553C" w:rsidP="003425E3">
      <w:pPr>
        <w:spacing w:before="0"/>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3425E3">
        <w:trPr>
          <w:trHeight w:val="64"/>
          <w:jc w:val="center"/>
        </w:trPr>
        <w:tc>
          <w:tcPr>
            <w:tcW w:w="2977"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Relativni ponder</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left"/>
              <w:rPr>
                <w:sz w:val="20"/>
              </w:rPr>
            </w:pPr>
            <w:r w:rsidRPr="00BB7332">
              <w:rPr>
                <w:sz w:val="20"/>
              </w:rPr>
              <w:t>Cijena ponude</w:t>
            </w:r>
          </w:p>
        </w:tc>
        <w:tc>
          <w:tcPr>
            <w:tcW w:w="2355" w:type="dxa"/>
            <w:vAlign w:val="center"/>
          </w:tcPr>
          <w:p w:rsidR="0066553C" w:rsidRPr="00BB7332" w:rsidRDefault="004956B1" w:rsidP="003425E3">
            <w:pPr>
              <w:spacing w:after="0"/>
              <w:contextualSpacing/>
              <w:jc w:val="center"/>
              <w:rPr>
                <w:sz w:val="20"/>
              </w:rPr>
            </w:pPr>
            <w:r>
              <w:rPr>
                <w:sz w:val="20"/>
              </w:rPr>
              <w:t>6</w:t>
            </w:r>
            <w:r w:rsidR="00B81824">
              <w:rPr>
                <w:sz w:val="20"/>
              </w:rPr>
              <w:t>0</w:t>
            </w:r>
          </w:p>
        </w:tc>
        <w:tc>
          <w:tcPr>
            <w:tcW w:w="1756" w:type="dxa"/>
            <w:vAlign w:val="center"/>
          </w:tcPr>
          <w:p w:rsidR="0066553C" w:rsidRPr="00BB7332" w:rsidRDefault="004956B1" w:rsidP="003425E3">
            <w:pPr>
              <w:spacing w:after="0"/>
              <w:contextualSpacing/>
              <w:jc w:val="center"/>
              <w:rPr>
                <w:sz w:val="20"/>
              </w:rPr>
            </w:pPr>
            <w:r>
              <w:rPr>
                <w:sz w:val="20"/>
              </w:rPr>
              <w:t>6</w:t>
            </w:r>
            <w:r w:rsidR="00B81824">
              <w:rPr>
                <w:sz w:val="20"/>
              </w:rPr>
              <w:t>0</w:t>
            </w:r>
            <w:r w:rsidR="0066553C" w:rsidRPr="00BB7332">
              <w:rPr>
                <w:sz w:val="20"/>
              </w:rPr>
              <w:t>%</w:t>
            </w:r>
          </w:p>
        </w:tc>
      </w:tr>
      <w:tr w:rsidR="0065178A" w:rsidRPr="00BB7332" w:rsidTr="003425E3">
        <w:trPr>
          <w:trHeight w:val="64"/>
          <w:jc w:val="center"/>
        </w:trPr>
        <w:tc>
          <w:tcPr>
            <w:tcW w:w="2977" w:type="dxa"/>
            <w:vAlign w:val="center"/>
          </w:tcPr>
          <w:p w:rsidR="0065178A" w:rsidRPr="00BB7332" w:rsidRDefault="00D65F58" w:rsidP="003425E3">
            <w:pPr>
              <w:spacing w:before="0" w:after="0"/>
              <w:contextualSpacing/>
              <w:jc w:val="left"/>
              <w:rPr>
                <w:sz w:val="20"/>
              </w:rPr>
            </w:pPr>
            <w:r w:rsidRPr="00A016E5">
              <w:rPr>
                <w:sz w:val="20"/>
                <w:szCs w:val="20"/>
              </w:rPr>
              <w:t>Duljina jamstvenog roka</w:t>
            </w:r>
          </w:p>
        </w:tc>
        <w:tc>
          <w:tcPr>
            <w:tcW w:w="2355" w:type="dxa"/>
            <w:vAlign w:val="center"/>
          </w:tcPr>
          <w:p w:rsidR="0065178A" w:rsidRPr="00BB7332" w:rsidRDefault="00B81824" w:rsidP="003425E3">
            <w:pPr>
              <w:spacing w:after="0"/>
              <w:contextualSpacing/>
              <w:jc w:val="center"/>
              <w:rPr>
                <w:sz w:val="20"/>
              </w:rPr>
            </w:pPr>
            <w:r>
              <w:rPr>
                <w:sz w:val="20"/>
              </w:rPr>
              <w:t>10</w:t>
            </w:r>
          </w:p>
        </w:tc>
        <w:tc>
          <w:tcPr>
            <w:tcW w:w="1756" w:type="dxa"/>
            <w:vAlign w:val="center"/>
          </w:tcPr>
          <w:p w:rsidR="0065178A" w:rsidRPr="00BB7332" w:rsidRDefault="00B81824" w:rsidP="003425E3">
            <w:pPr>
              <w:spacing w:after="0"/>
              <w:contextualSpacing/>
              <w:jc w:val="center"/>
              <w:rPr>
                <w:sz w:val="20"/>
              </w:rPr>
            </w:pPr>
            <w:r>
              <w:rPr>
                <w:sz w:val="20"/>
              </w:rPr>
              <w:t>10</w:t>
            </w:r>
            <w:r w:rsidR="0065178A" w:rsidRPr="00BB7332">
              <w:rPr>
                <w:sz w:val="20"/>
              </w:rPr>
              <w:t>%</w:t>
            </w:r>
          </w:p>
        </w:tc>
      </w:tr>
      <w:tr w:rsidR="004956B1" w:rsidRPr="00BB7332" w:rsidTr="003425E3">
        <w:trPr>
          <w:trHeight w:val="64"/>
          <w:jc w:val="center"/>
        </w:trPr>
        <w:tc>
          <w:tcPr>
            <w:tcW w:w="2977" w:type="dxa"/>
            <w:vAlign w:val="center"/>
          </w:tcPr>
          <w:p w:rsidR="004956B1" w:rsidRPr="00BB7332" w:rsidRDefault="004956B1" w:rsidP="004956B1">
            <w:pPr>
              <w:spacing w:before="0" w:after="0"/>
              <w:contextualSpacing/>
              <w:jc w:val="left"/>
              <w:rPr>
                <w:sz w:val="20"/>
              </w:rPr>
            </w:pPr>
            <w:r w:rsidRPr="002B3E26">
              <w:rPr>
                <w:sz w:val="20"/>
              </w:rPr>
              <w:t>Dodatni kriterij kvalitete</w:t>
            </w:r>
          </w:p>
        </w:tc>
        <w:tc>
          <w:tcPr>
            <w:tcW w:w="2355" w:type="dxa"/>
            <w:vAlign w:val="center"/>
          </w:tcPr>
          <w:p w:rsidR="004956B1" w:rsidRPr="00A03D33" w:rsidRDefault="004956B1" w:rsidP="004956B1">
            <w:pPr>
              <w:spacing w:after="0"/>
              <w:contextualSpacing/>
              <w:jc w:val="center"/>
              <w:rPr>
                <w:sz w:val="20"/>
              </w:rPr>
            </w:pPr>
            <w:r>
              <w:rPr>
                <w:sz w:val="20"/>
              </w:rPr>
              <w:t>30</w:t>
            </w:r>
          </w:p>
        </w:tc>
        <w:tc>
          <w:tcPr>
            <w:tcW w:w="1756" w:type="dxa"/>
            <w:vAlign w:val="center"/>
          </w:tcPr>
          <w:p w:rsidR="004956B1" w:rsidRPr="00A03D33" w:rsidRDefault="004956B1" w:rsidP="004956B1">
            <w:pPr>
              <w:spacing w:after="0"/>
              <w:contextualSpacing/>
              <w:jc w:val="center"/>
              <w:rPr>
                <w:sz w:val="20"/>
              </w:rPr>
            </w:pPr>
            <w:r>
              <w:rPr>
                <w:sz w:val="20"/>
              </w:rPr>
              <w:t>3</w:t>
            </w:r>
            <w:r w:rsidRPr="00A03D33">
              <w:rPr>
                <w:sz w:val="20"/>
              </w:rPr>
              <w:t>0%</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3425E3">
            <w:pPr>
              <w:spacing w:before="0" w:after="0"/>
              <w:contextualSpacing/>
              <w:jc w:val="center"/>
              <w:rPr>
                <w:sz w:val="20"/>
              </w:rPr>
            </w:pPr>
            <w:r w:rsidRPr="00BB7332">
              <w:rPr>
                <w:sz w:val="20"/>
              </w:rPr>
              <w:t>100</w:t>
            </w:r>
          </w:p>
        </w:tc>
        <w:tc>
          <w:tcPr>
            <w:tcW w:w="1756" w:type="dxa"/>
            <w:vAlign w:val="center"/>
          </w:tcPr>
          <w:p w:rsidR="0066553C" w:rsidRPr="00BB7332" w:rsidRDefault="0066553C" w:rsidP="003425E3">
            <w:pPr>
              <w:spacing w:after="0"/>
              <w:contextualSpacing/>
              <w:jc w:val="center"/>
              <w:rPr>
                <w:sz w:val="20"/>
              </w:rPr>
            </w:pPr>
            <w:r w:rsidRPr="00BB7332">
              <w:rPr>
                <w:sz w:val="20"/>
              </w:rPr>
              <w:t>100%</w:t>
            </w:r>
          </w:p>
        </w:tc>
      </w:tr>
    </w:tbl>
    <w:p w:rsidR="0066553C" w:rsidRPr="00946BEE" w:rsidRDefault="0066553C" w:rsidP="003425E3">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D65F58">
        <w:rPr>
          <w:b/>
        </w:rPr>
        <w:t>JR</w:t>
      </w:r>
      <w:r w:rsidR="004956B1">
        <w:rPr>
          <w:b/>
        </w:rPr>
        <w:t>+DKK</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D65F58" w:rsidRDefault="00D65F58" w:rsidP="00D65F58">
      <w:pPr>
        <w:spacing w:before="0" w:line="276" w:lineRule="auto"/>
        <w:ind w:left="708"/>
        <w:contextualSpacing/>
        <w:rPr>
          <w:sz w:val="18"/>
        </w:rPr>
      </w:pPr>
      <w:r>
        <w:rPr>
          <w:sz w:val="18"/>
        </w:rPr>
        <w:t>JR</w:t>
      </w:r>
      <w:r w:rsidRPr="00BB7332">
        <w:rPr>
          <w:sz w:val="18"/>
        </w:rPr>
        <w:tab/>
        <w:t xml:space="preserve">- broj bodova ponude po izračunu za kriterij </w:t>
      </w:r>
      <w:r>
        <w:rPr>
          <w:sz w:val="18"/>
        </w:rPr>
        <w:t>duljine jamstvenog roka</w:t>
      </w:r>
    </w:p>
    <w:p w:rsidR="004956B1" w:rsidRDefault="004956B1" w:rsidP="00D65F58">
      <w:pPr>
        <w:spacing w:before="0" w:line="276" w:lineRule="auto"/>
        <w:ind w:left="708"/>
        <w:contextualSpacing/>
        <w:rPr>
          <w:sz w:val="18"/>
        </w:rPr>
      </w:pPr>
      <w:r>
        <w:rPr>
          <w:sz w:val="18"/>
        </w:rPr>
        <w:t>DKK</w:t>
      </w:r>
      <w:r w:rsidRPr="00BB7332">
        <w:rPr>
          <w:sz w:val="18"/>
        </w:rPr>
        <w:tab/>
        <w:t xml:space="preserve">- broj bodova ponude po izračunu za kriterij </w:t>
      </w:r>
      <w:r>
        <w:rPr>
          <w:sz w:val="18"/>
        </w:rPr>
        <w:t>dodatnih kriterija kvalitete</w:t>
      </w:r>
    </w:p>
    <w:p w:rsidR="00D65F58" w:rsidRPr="00BB7332" w:rsidRDefault="00D65F58" w:rsidP="00D65F58">
      <w:pPr>
        <w:spacing w:before="0" w:line="276" w:lineRule="auto"/>
        <w:ind w:left="708"/>
        <w:contextualSpacing/>
        <w:rPr>
          <w:sz w:val="18"/>
        </w:rPr>
      </w:pPr>
    </w:p>
    <w:p w:rsidR="00BB7332" w:rsidRDefault="0066553C" w:rsidP="00BB7332">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65178A" w:rsidRPr="00946BEE">
        <w:t xml:space="preserve">ju iznosi </w:t>
      </w:r>
      <w:r w:rsidR="004956B1">
        <w:t>6</w:t>
      </w:r>
      <w:r w:rsidR="00631BE8">
        <w:t>0</w:t>
      </w:r>
      <w:r w:rsidRPr="00946BEE">
        <w:t xml:space="preserve"> (</w:t>
      </w:r>
      <w:r w:rsidR="004956B1">
        <w:t>šez</w:t>
      </w:r>
      <w:r w:rsidR="00631BE8">
        <w:t>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4956B1">
        <w:rPr>
          <w:b/>
        </w:rPr>
        <w:t>6</w:t>
      </w:r>
      <w:r w:rsidR="00631BE8">
        <w:rPr>
          <w:b/>
        </w:rPr>
        <w:t>0</w:t>
      </w:r>
      <w:r w:rsidRPr="00946BEE">
        <w:rPr>
          <w:b/>
        </w:rPr>
        <w:t xml:space="preserve">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4956B1" w:rsidP="00946BEE">
      <w:pPr>
        <w:pStyle w:val="Odlomakpopisa"/>
        <w:spacing w:before="0" w:line="276" w:lineRule="auto"/>
        <w:ind w:left="1069"/>
        <w:contextualSpacing w:val="0"/>
        <w:rPr>
          <w:sz w:val="18"/>
        </w:rPr>
      </w:pPr>
      <w:r>
        <w:rPr>
          <w:sz w:val="18"/>
        </w:rPr>
        <w:t>6</w:t>
      </w:r>
      <w:r w:rsidR="00631BE8">
        <w:rPr>
          <w:sz w:val="18"/>
        </w:rPr>
        <w:t>0</w:t>
      </w:r>
      <w:r w:rsidR="0065178A" w:rsidRPr="00BB7332">
        <w:rPr>
          <w:sz w:val="18"/>
        </w:rPr>
        <w:tab/>
      </w:r>
      <w:r w:rsidR="0066553C" w:rsidRPr="00BB7332">
        <w:rPr>
          <w:sz w:val="18"/>
        </w:rPr>
        <w:t>- najviši ostvarivi broj bodova na temelju kriterija cijena</w:t>
      </w:r>
    </w:p>
    <w:p w:rsidR="00D65F58" w:rsidRPr="00946BEE" w:rsidRDefault="00D65F58" w:rsidP="00D65F58">
      <w:pPr>
        <w:spacing w:before="0" w:line="276" w:lineRule="auto"/>
        <w:rPr>
          <w:b/>
          <w:u w:val="single"/>
        </w:rPr>
      </w:pPr>
      <w:r w:rsidRPr="00946BEE">
        <w:rPr>
          <w:b/>
          <w:u w:val="single"/>
        </w:rPr>
        <w:lastRenderedPageBreak/>
        <w:t xml:space="preserve">b) </w:t>
      </w:r>
      <w:r>
        <w:rPr>
          <w:b/>
          <w:u w:val="single"/>
        </w:rPr>
        <w:t>Duljina jamstvenog roka</w:t>
      </w:r>
    </w:p>
    <w:p w:rsidR="008370EA" w:rsidRPr="00946BEE" w:rsidRDefault="008370EA" w:rsidP="008370EA">
      <w:pPr>
        <w:pStyle w:val="Odlomakpopisa"/>
        <w:spacing w:line="276" w:lineRule="auto"/>
        <w:ind w:left="644"/>
        <w:contextualSpacing w:val="0"/>
      </w:pPr>
      <w:r w:rsidRPr="00946BEE">
        <w:t xml:space="preserve">Ponuditelj je u obvezi ponuditi minimalni jamstveni rok za predmet nabave u trajanju </w:t>
      </w:r>
      <w:r>
        <w:t>2</w:t>
      </w:r>
      <w:r w:rsidRPr="00946BEE">
        <w:t xml:space="preserve"> (</w:t>
      </w:r>
      <w:r>
        <w:t>dvije</w:t>
      </w:r>
      <w:r w:rsidRPr="00946BEE">
        <w:t>) godine od dana uspješno obavljene primopredaje.</w:t>
      </w:r>
    </w:p>
    <w:p w:rsidR="008370EA" w:rsidRPr="00946BEE" w:rsidRDefault="008370EA" w:rsidP="008370EA">
      <w:pPr>
        <w:pStyle w:val="Odlomakpopisa"/>
        <w:spacing w:before="0" w:line="276" w:lineRule="auto"/>
        <w:ind w:left="646"/>
        <w:contextualSpacing w:val="0"/>
      </w:pPr>
      <w:r w:rsidRPr="00946BEE">
        <w:t xml:space="preserve">Dodatna godina jamstvenog roka za robu iznad obvezno ponuđenog jamstvenog roka od </w:t>
      </w:r>
      <w:r>
        <w:t>2</w:t>
      </w:r>
      <w:r w:rsidRPr="00946BEE">
        <w:t xml:space="preserve"> (</w:t>
      </w:r>
      <w:r>
        <w:t>dvije</w:t>
      </w:r>
      <w:r w:rsidRPr="00946BEE">
        <w:t xml:space="preserve">) godine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8370EA" w:rsidRPr="00BB7332" w:rsidTr="002973B7">
        <w:trPr>
          <w:trHeight w:val="419"/>
          <w:jc w:val="center"/>
        </w:trPr>
        <w:tc>
          <w:tcPr>
            <w:tcW w:w="3929" w:type="dxa"/>
            <w:shd w:val="clear" w:color="auto" w:fill="FBE4D5" w:themeFill="accent2" w:themeFillTint="33"/>
            <w:vAlign w:val="center"/>
          </w:tcPr>
          <w:p w:rsidR="008370EA" w:rsidRPr="00BB7332" w:rsidRDefault="008370EA" w:rsidP="002973B7">
            <w:pPr>
              <w:pStyle w:val="Odlomakpopisa"/>
              <w:spacing w:before="0" w:after="0"/>
              <w:ind w:left="0"/>
              <w:jc w:val="center"/>
              <w:rPr>
                <w:b/>
                <w:sz w:val="20"/>
              </w:rPr>
            </w:pPr>
            <w:r w:rsidRPr="00BB7332">
              <w:rPr>
                <w:b/>
                <w:sz w:val="20"/>
              </w:rPr>
              <w:t>Duljina trajanja jamstvenog roka</w:t>
            </w:r>
          </w:p>
        </w:tc>
        <w:tc>
          <w:tcPr>
            <w:tcW w:w="1741" w:type="dxa"/>
            <w:shd w:val="clear" w:color="auto" w:fill="FBE4D5" w:themeFill="accent2" w:themeFillTint="33"/>
            <w:vAlign w:val="center"/>
          </w:tcPr>
          <w:p w:rsidR="008370EA" w:rsidRPr="00BB7332" w:rsidRDefault="008370EA" w:rsidP="002973B7">
            <w:pPr>
              <w:pStyle w:val="Odlomakpopisa"/>
              <w:spacing w:before="0" w:after="0"/>
              <w:ind w:left="0"/>
              <w:jc w:val="center"/>
              <w:rPr>
                <w:b/>
                <w:sz w:val="20"/>
              </w:rPr>
            </w:pPr>
            <w:r w:rsidRPr="00BB7332">
              <w:rPr>
                <w:b/>
                <w:sz w:val="20"/>
              </w:rPr>
              <w:t>Broj bodova</w:t>
            </w:r>
          </w:p>
        </w:tc>
      </w:tr>
      <w:tr w:rsidR="008370EA" w:rsidRPr="00BB7332" w:rsidTr="002973B7">
        <w:trPr>
          <w:trHeight w:val="426"/>
          <w:jc w:val="center"/>
        </w:trPr>
        <w:tc>
          <w:tcPr>
            <w:tcW w:w="3929" w:type="dxa"/>
            <w:vAlign w:val="center"/>
          </w:tcPr>
          <w:p w:rsidR="008370EA" w:rsidRPr="00BB7332" w:rsidRDefault="008370EA" w:rsidP="002973B7">
            <w:pPr>
              <w:pStyle w:val="Odlomakpopisa"/>
              <w:spacing w:before="0" w:after="0"/>
              <w:ind w:left="0"/>
              <w:jc w:val="center"/>
              <w:rPr>
                <w:sz w:val="20"/>
              </w:rPr>
            </w:pPr>
            <w:r w:rsidRPr="00BB7332">
              <w:rPr>
                <w:sz w:val="20"/>
              </w:rPr>
              <w:t xml:space="preserve">jamstveni rok </w:t>
            </w:r>
            <w:r>
              <w:rPr>
                <w:sz w:val="20"/>
              </w:rPr>
              <w:t>2</w:t>
            </w:r>
            <w:r w:rsidRPr="00BB7332">
              <w:rPr>
                <w:sz w:val="20"/>
              </w:rPr>
              <w:t xml:space="preserve"> (</w:t>
            </w:r>
            <w:r>
              <w:rPr>
                <w:sz w:val="20"/>
              </w:rPr>
              <w:t>dvije</w:t>
            </w:r>
            <w:r w:rsidRPr="00BB7332">
              <w:rPr>
                <w:sz w:val="20"/>
              </w:rPr>
              <w:t>)</w:t>
            </w:r>
            <w:r>
              <w:rPr>
                <w:sz w:val="20"/>
              </w:rPr>
              <w:t xml:space="preserve"> </w:t>
            </w:r>
            <w:r w:rsidRPr="00BB7332">
              <w:rPr>
                <w:sz w:val="20"/>
              </w:rPr>
              <w:t>godin</w:t>
            </w:r>
            <w:r>
              <w:rPr>
                <w:sz w:val="20"/>
              </w:rPr>
              <w:t>e</w:t>
            </w:r>
          </w:p>
        </w:tc>
        <w:tc>
          <w:tcPr>
            <w:tcW w:w="1741" w:type="dxa"/>
            <w:vAlign w:val="center"/>
          </w:tcPr>
          <w:p w:rsidR="008370EA" w:rsidRPr="00BB7332" w:rsidRDefault="008370EA" w:rsidP="002973B7">
            <w:pPr>
              <w:pStyle w:val="Odlomakpopisa"/>
              <w:spacing w:before="0" w:after="0"/>
              <w:ind w:left="0"/>
              <w:jc w:val="center"/>
              <w:rPr>
                <w:sz w:val="20"/>
              </w:rPr>
            </w:pPr>
            <w:r w:rsidRPr="00BB7332">
              <w:rPr>
                <w:sz w:val="20"/>
              </w:rPr>
              <w:t>0</w:t>
            </w:r>
          </w:p>
        </w:tc>
      </w:tr>
      <w:tr w:rsidR="008370EA" w:rsidRPr="00BB7332" w:rsidTr="002973B7">
        <w:trPr>
          <w:trHeight w:val="419"/>
          <w:jc w:val="center"/>
        </w:trPr>
        <w:tc>
          <w:tcPr>
            <w:tcW w:w="3929" w:type="dxa"/>
            <w:vAlign w:val="center"/>
          </w:tcPr>
          <w:p w:rsidR="008370EA" w:rsidRPr="00BB7332" w:rsidRDefault="008370EA" w:rsidP="002973B7">
            <w:pPr>
              <w:pStyle w:val="Odlomakpopisa"/>
              <w:spacing w:before="0" w:after="0"/>
              <w:ind w:left="0"/>
              <w:jc w:val="center"/>
              <w:rPr>
                <w:sz w:val="20"/>
              </w:rPr>
            </w:pPr>
            <w:r>
              <w:rPr>
                <w:sz w:val="20"/>
              </w:rPr>
              <w:t>jamstveni rok 3 (tri) godine</w:t>
            </w:r>
          </w:p>
        </w:tc>
        <w:tc>
          <w:tcPr>
            <w:tcW w:w="1741" w:type="dxa"/>
            <w:vAlign w:val="center"/>
          </w:tcPr>
          <w:p w:rsidR="008370EA" w:rsidRPr="00BB7332" w:rsidRDefault="008370EA" w:rsidP="002973B7">
            <w:pPr>
              <w:pStyle w:val="Odlomakpopisa"/>
              <w:spacing w:before="0" w:after="0"/>
              <w:ind w:left="0"/>
              <w:jc w:val="center"/>
              <w:rPr>
                <w:sz w:val="20"/>
              </w:rPr>
            </w:pPr>
            <w:r w:rsidRPr="00BB7332">
              <w:rPr>
                <w:sz w:val="20"/>
              </w:rPr>
              <w:t>5</w:t>
            </w:r>
          </w:p>
        </w:tc>
      </w:tr>
      <w:tr w:rsidR="008370EA" w:rsidRPr="00BB7332" w:rsidTr="002973B7">
        <w:trPr>
          <w:trHeight w:val="419"/>
          <w:jc w:val="center"/>
        </w:trPr>
        <w:tc>
          <w:tcPr>
            <w:tcW w:w="3929" w:type="dxa"/>
            <w:vAlign w:val="center"/>
          </w:tcPr>
          <w:p w:rsidR="008370EA" w:rsidRPr="00BB7332" w:rsidRDefault="008370EA" w:rsidP="002973B7">
            <w:pPr>
              <w:pStyle w:val="Odlomakpopisa"/>
              <w:spacing w:before="0" w:after="0"/>
              <w:ind w:left="0"/>
              <w:jc w:val="center"/>
              <w:rPr>
                <w:sz w:val="20"/>
              </w:rPr>
            </w:pPr>
            <w:r>
              <w:rPr>
                <w:sz w:val="20"/>
              </w:rPr>
              <w:t>jamstveni rok 4 (četiri) godine</w:t>
            </w:r>
          </w:p>
        </w:tc>
        <w:tc>
          <w:tcPr>
            <w:tcW w:w="1741" w:type="dxa"/>
            <w:vAlign w:val="center"/>
          </w:tcPr>
          <w:p w:rsidR="008370EA" w:rsidRPr="00BB7332" w:rsidRDefault="008370EA" w:rsidP="002973B7">
            <w:pPr>
              <w:pStyle w:val="Odlomakpopisa"/>
              <w:spacing w:before="0" w:after="0"/>
              <w:ind w:left="0"/>
              <w:jc w:val="center"/>
              <w:rPr>
                <w:sz w:val="20"/>
              </w:rPr>
            </w:pPr>
            <w:r>
              <w:rPr>
                <w:sz w:val="20"/>
              </w:rPr>
              <w:t>10</w:t>
            </w:r>
          </w:p>
        </w:tc>
      </w:tr>
    </w:tbl>
    <w:p w:rsidR="008370EA" w:rsidRPr="00946BEE" w:rsidRDefault="008370EA" w:rsidP="008370EA">
      <w:pPr>
        <w:pStyle w:val="Odlomakpopisa"/>
        <w:spacing w:line="276" w:lineRule="auto"/>
        <w:ind w:left="644"/>
        <w:contextualSpacing w:val="0"/>
      </w:pPr>
      <w:r w:rsidRPr="00946BEE">
        <w:t xml:space="preserve">Maksimalan broj bodova koji ponuditelj može ostvariti na temelju ovog kriterija iznosi </w:t>
      </w:r>
      <w:r>
        <w:t>10</w:t>
      </w:r>
      <w:r w:rsidRPr="00946BEE">
        <w:t xml:space="preserve"> (</w:t>
      </w:r>
      <w:r>
        <w:t>deset</w:t>
      </w:r>
      <w:r w:rsidRPr="00946BEE">
        <w:t xml:space="preserve">) bodova. </w:t>
      </w:r>
      <w:r>
        <w:t xml:space="preserve"> </w:t>
      </w:r>
    </w:p>
    <w:p w:rsidR="008370EA" w:rsidRDefault="008370EA" w:rsidP="008370EA">
      <w:pPr>
        <w:pStyle w:val="Odlomakpopisa"/>
        <w:spacing w:after="0" w:line="276" w:lineRule="auto"/>
        <w:ind w:left="644"/>
        <w:contextualSpacing w:val="0"/>
        <w:rPr>
          <w:lang w:eastAsia="zh-CN"/>
        </w:rPr>
      </w:pPr>
      <w:r w:rsidRPr="002B6351">
        <w:rPr>
          <w:lang w:eastAsia="zh-CN"/>
        </w:rPr>
        <w:t xml:space="preserve">Ovim jamstvom Isporučitelj  jamči ispravno funkcioniranje </w:t>
      </w:r>
      <w:r>
        <w:rPr>
          <w:lang w:eastAsia="zh-CN"/>
        </w:rPr>
        <w:t>opreme</w:t>
      </w:r>
      <w:r w:rsidRPr="002B6351">
        <w:rPr>
          <w:lang w:eastAsia="zh-CN"/>
        </w:rPr>
        <w:t xml:space="preserve"> koj</w:t>
      </w:r>
      <w:r>
        <w:rPr>
          <w:lang w:eastAsia="zh-CN"/>
        </w:rPr>
        <w:t>a</w:t>
      </w:r>
      <w:r w:rsidRPr="002B6351">
        <w:rPr>
          <w:lang w:eastAsia="zh-CN"/>
        </w:rPr>
        <w:t xml:space="preserve"> je predmet ove nabave te da će na zahtjev korisnika uređaja o svojem trošku otkloniti kvarove i nedostatke koji bi bili posljedica tvorničke greške i koji bi nastali u jamstvenom roku pri normalnoj uporabi </w:t>
      </w:r>
      <w:r>
        <w:rPr>
          <w:lang w:eastAsia="zh-CN"/>
        </w:rPr>
        <w:t>opreme</w:t>
      </w:r>
      <w:r w:rsidRPr="002B6351">
        <w:rPr>
          <w:lang w:eastAsia="zh-CN"/>
        </w:rPr>
        <w:t xml:space="preserve"> uz poštivanje svih tehničkih naputaka.</w:t>
      </w:r>
    </w:p>
    <w:p w:rsidR="004956B1" w:rsidRDefault="004956B1" w:rsidP="008370EA">
      <w:pPr>
        <w:pStyle w:val="Odlomakpopisa"/>
        <w:spacing w:after="0" w:line="276" w:lineRule="auto"/>
        <w:ind w:left="644"/>
        <w:contextualSpacing w:val="0"/>
        <w:rPr>
          <w:lang w:eastAsia="zh-CN"/>
        </w:rPr>
      </w:pPr>
    </w:p>
    <w:p w:rsidR="004956B1" w:rsidRPr="00946BEE" w:rsidRDefault="004956B1" w:rsidP="004956B1">
      <w:pPr>
        <w:spacing w:before="0" w:line="276" w:lineRule="auto"/>
        <w:rPr>
          <w:b/>
          <w:u w:val="single"/>
        </w:rPr>
      </w:pPr>
      <w:r>
        <w:rPr>
          <w:b/>
          <w:u w:val="single"/>
        </w:rPr>
        <w:t>c</w:t>
      </w:r>
      <w:r w:rsidRPr="00A03D33">
        <w:rPr>
          <w:b/>
          <w:u w:val="single"/>
        </w:rPr>
        <w:t>) Dodatni kriterij kvalitete</w:t>
      </w:r>
    </w:p>
    <w:p w:rsidR="004956B1" w:rsidRPr="00946BEE" w:rsidRDefault="004956B1" w:rsidP="004956B1">
      <w:pPr>
        <w:pStyle w:val="Odlomakpopisa"/>
        <w:spacing w:before="0" w:line="276" w:lineRule="auto"/>
        <w:ind w:left="646"/>
        <w:contextualSpacing w:val="0"/>
      </w:pPr>
      <w:r w:rsidRPr="00204F3C">
        <w:t xml:space="preserve">U dokumentu Tehnička specifikacija predmeta nabave objavljenom u sklopu ove Dokumentacije o nabavi </w:t>
      </w:r>
      <w:r w:rsidR="00E94E6D">
        <w:t xml:space="preserve">pod točkama 6, 7 i 8 </w:t>
      </w:r>
      <w:r w:rsidRPr="00204F3C">
        <w:t xml:space="preserve">Naručitelj je odredio obvezne karakteristike predmeta nabave kao i konkretne minimalne zahtjeve po pitanju kvalitete opreme kao osnovni standard koji ponuđeni predmet nabave mora zadovoljiti. U svrhu dobivanja medicinske opreme više kvalitete, Naručitelj u ovoj Dokumentaciji određuje </w:t>
      </w:r>
      <w:proofErr w:type="spellStart"/>
      <w:r w:rsidRPr="00204F3C">
        <w:t>necjenovni</w:t>
      </w:r>
      <w:proofErr w:type="spellEnd"/>
      <w:r w:rsidRPr="00204F3C">
        <w:t xml:space="preserve"> kriterij – dodatni kriterij kvalitete. Ponuditelji mogu ponuditi proizvod više razine kvalitete od zadanog minimuma u Tehničkoj specifikaciji te ponuditi dodatnu opciju opreme koju će Naručitelj bodovati na slijedeći način:</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7772"/>
        <w:gridCol w:w="1276"/>
      </w:tblGrid>
      <w:tr w:rsidR="004956B1" w:rsidRPr="00B10E7F" w:rsidTr="00635CD9">
        <w:trPr>
          <w:trHeight w:val="300"/>
          <w:jc w:val="center"/>
        </w:trPr>
        <w:tc>
          <w:tcPr>
            <w:tcW w:w="728" w:type="dxa"/>
            <w:shd w:val="clear" w:color="auto" w:fill="FBE4D5" w:themeFill="accent2" w:themeFillTint="33"/>
            <w:vAlign w:val="center"/>
          </w:tcPr>
          <w:p w:rsidR="004956B1" w:rsidRPr="00B10E7F" w:rsidRDefault="004956B1" w:rsidP="00435C7E">
            <w:pPr>
              <w:spacing w:before="0" w:after="0"/>
              <w:contextualSpacing/>
              <w:jc w:val="center"/>
              <w:rPr>
                <w:b/>
                <w:bCs/>
                <w:sz w:val="18"/>
                <w:szCs w:val="18"/>
              </w:rPr>
            </w:pPr>
            <w:r w:rsidRPr="00B10E7F">
              <w:rPr>
                <w:b/>
                <w:bCs/>
                <w:sz w:val="18"/>
                <w:szCs w:val="18"/>
              </w:rPr>
              <w:t>Redni broj</w:t>
            </w:r>
          </w:p>
        </w:tc>
        <w:tc>
          <w:tcPr>
            <w:tcW w:w="7772" w:type="dxa"/>
            <w:shd w:val="clear" w:color="auto" w:fill="FBE4D5" w:themeFill="accent2" w:themeFillTint="33"/>
            <w:vAlign w:val="center"/>
          </w:tcPr>
          <w:p w:rsidR="004956B1" w:rsidRPr="00B10E7F" w:rsidRDefault="004956B1" w:rsidP="00435C7E">
            <w:pPr>
              <w:spacing w:before="0" w:after="0"/>
              <w:contextualSpacing/>
              <w:jc w:val="center"/>
              <w:rPr>
                <w:b/>
                <w:bCs/>
                <w:sz w:val="18"/>
                <w:szCs w:val="18"/>
              </w:rPr>
            </w:pPr>
            <w:r w:rsidRPr="00B10E7F">
              <w:rPr>
                <w:b/>
                <w:bCs/>
                <w:sz w:val="18"/>
                <w:szCs w:val="18"/>
              </w:rPr>
              <w:t>Dodatni kriterij kvalitete</w:t>
            </w:r>
          </w:p>
        </w:tc>
        <w:tc>
          <w:tcPr>
            <w:tcW w:w="1276" w:type="dxa"/>
            <w:shd w:val="clear" w:color="auto" w:fill="FBE4D5" w:themeFill="accent2" w:themeFillTint="33"/>
            <w:vAlign w:val="center"/>
          </w:tcPr>
          <w:p w:rsidR="004956B1" w:rsidRPr="00B10E7F" w:rsidRDefault="004956B1" w:rsidP="00435C7E">
            <w:pPr>
              <w:spacing w:before="0" w:after="0"/>
              <w:contextualSpacing/>
              <w:jc w:val="center"/>
              <w:rPr>
                <w:b/>
                <w:bCs/>
                <w:sz w:val="18"/>
                <w:szCs w:val="18"/>
              </w:rPr>
            </w:pPr>
            <w:r w:rsidRPr="00B10E7F">
              <w:rPr>
                <w:b/>
                <w:bCs/>
                <w:sz w:val="18"/>
                <w:szCs w:val="18"/>
              </w:rPr>
              <w:t>Mogući broj bodova</w:t>
            </w:r>
          </w:p>
        </w:tc>
      </w:tr>
      <w:tr w:rsidR="004956B1" w:rsidRPr="00B10E7F" w:rsidTr="00635CD9">
        <w:trPr>
          <w:trHeight w:val="300"/>
          <w:jc w:val="center"/>
        </w:trPr>
        <w:tc>
          <w:tcPr>
            <w:tcW w:w="728" w:type="dxa"/>
            <w:shd w:val="clear" w:color="auto" w:fill="auto"/>
            <w:noWrap/>
            <w:vAlign w:val="center"/>
          </w:tcPr>
          <w:p w:rsidR="004956B1" w:rsidRPr="00B10E7F" w:rsidRDefault="004956B1" w:rsidP="004956B1">
            <w:pPr>
              <w:spacing w:before="0" w:after="0"/>
              <w:jc w:val="center"/>
              <w:rPr>
                <w:color w:val="000000"/>
                <w:sz w:val="18"/>
                <w:szCs w:val="18"/>
              </w:rPr>
            </w:pPr>
            <w:r>
              <w:rPr>
                <w:color w:val="000000"/>
                <w:sz w:val="18"/>
                <w:szCs w:val="18"/>
              </w:rPr>
              <w:t>1.</w:t>
            </w:r>
          </w:p>
        </w:tc>
        <w:tc>
          <w:tcPr>
            <w:tcW w:w="7772" w:type="dxa"/>
            <w:shd w:val="clear" w:color="auto" w:fill="auto"/>
            <w:vAlign w:val="center"/>
          </w:tcPr>
          <w:p w:rsidR="004956B1" w:rsidRPr="004956B1" w:rsidRDefault="004956B1" w:rsidP="00635CD9">
            <w:pPr>
              <w:spacing w:before="0" w:after="0"/>
              <w:jc w:val="left"/>
              <w:rPr>
                <w:sz w:val="18"/>
                <w:szCs w:val="18"/>
              </w:rPr>
            </w:pPr>
            <w:r w:rsidRPr="004956B1">
              <w:rPr>
                <w:sz w:val="18"/>
                <w:szCs w:val="18"/>
              </w:rPr>
              <w:t xml:space="preserve">Kompatibilnost UZV uređaja za kardiologiju s postojećim sustavom za arhiviranje i obradu podataka s bazom pacijenata, podržava min.: pretraživanje, pregledavanje neobrađenih podataka, slika i kino petlji 2D prikaza, obojanog Dopplera i Dopplera </w:t>
            </w:r>
            <w:proofErr w:type="spellStart"/>
            <w:r w:rsidRPr="004956B1">
              <w:rPr>
                <w:sz w:val="18"/>
                <w:szCs w:val="18"/>
              </w:rPr>
              <w:t>miokarda</w:t>
            </w:r>
            <w:proofErr w:type="spellEnd"/>
            <w:r w:rsidRPr="004956B1">
              <w:rPr>
                <w:sz w:val="18"/>
                <w:szCs w:val="18"/>
              </w:rPr>
              <w:t xml:space="preserve"> u izvornoj vremenskoj rezoluciji, obavljanje novih mjerenja i kalkulacija, kreiranje anatomskog M prikaza iz snimljenih 2D kino sekvenci, izračuni i izvješća, kvantitativne analize za Doppler </w:t>
            </w:r>
            <w:proofErr w:type="spellStart"/>
            <w:r w:rsidRPr="004956B1">
              <w:rPr>
                <w:sz w:val="18"/>
                <w:szCs w:val="18"/>
              </w:rPr>
              <w:t>miokarda</w:t>
            </w:r>
            <w:proofErr w:type="spellEnd"/>
            <w:r w:rsidRPr="004956B1">
              <w:rPr>
                <w:sz w:val="18"/>
                <w:szCs w:val="18"/>
              </w:rPr>
              <w:t xml:space="preserve">, deformacije metodom praćenja referentne točke, 2D </w:t>
            </w:r>
            <w:proofErr w:type="spellStart"/>
            <w:r w:rsidRPr="004956B1">
              <w:rPr>
                <w:sz w:val="18"/>
                <w:szCs w:val="18"/>
              </w:rPr>
              <w:t>strain</w:t>
            </w:r>
            <w:proofErr w:type="spellEnd"/>
            <w:r w:rsidRPr="004956B1">
              <w:rPr>
                <w:sz w:val="18"/>
                <w:szCs w:val="18"/>
              </w:rPr>
              <w:t xml:space="preserve"> analize, automatska evaluacija funkcije lijevog </w:t>
            </w:r>
            <w:proofErr w:type="spellStart"/>
            <w:r w:rsidRPr="004956B1">
              <w:rPr>
                <w:sz w:val="18"/>
                <w:szCs w:val="18"/>
              </w:rPr>
              <w:t>ventrikula</w:t>
            </w:r>
            <w:proofErr w:type="spellEnd"/>
            <w:r w:rsidRPr="004956B1">
              <w:rPr>
                <w:sz w:val="18"/>
                <w:szCs w:val="18"/>
              </w:rPr>
              <w:t xml:space="preserve"> iz 2D podataka "</w:t>
            </w:r>
            <w:proofErr w:type="spellStart"/>
            <w:r w:rsidRPr="004956B1">
              <w:rPr>
                <w:sz w:val="18"/>
                <w:szCs w:val="18"/>
              </w:rPr>
              <w:t>speckle</w:t>
            </w:r>
            <w:proofErr w:type="spellEnd"/>
            <w:r w:rsidRPr="004956B1">
              <w:rPr>
                <w:sz w:val="18"/>
                <w:szCs w:val="18"/>
              </w:rPr>
              <w:t xml:space="preserve"> </w:t>
            </w:r>
            <w:proofErr w:type="spellStart"/>
            <w:r w:rsidRPr="004956B1">
              <w:rPr>
                <w:sz w:val="18"/>
                <w:szCs w:val="18"/>
              </w:rPr>
              <w:t>tracking</w:t>
            </w:r>
            <w:proofErr w:type="spellEnd"/>
            <w:r w:rsidRPr="004956B1">
              <w:rPr>
                <w:sz w:val="18"/>
                <w:szCs w:val="18"/>
              </w:rPr>
              <w:t xml:space="preserve">" metodom, dvosmjeran protok podataka.                                                                                                                                                                                 Alternativno je potreban odgovarajući sustav za arhiviranje i obradu podataka s bazom pacijenata, podržava min.: pretraživanje, pregledavanje neobrađenih podataka, slika i kino petlji 2D prikaza, obojanog Dopplera i Dopplera </w:t>
            </w:r>
            <w:proofErr w:type="spellStart"/>
            <w:r w:rsidRPr="004956B1">
              <w:rPr>
                <w:sz w:val="18"/>
                <w:szCs w:val="18"/>
              </w:rPr>
              <w:t>miokarda</w:t>
            </w:r>
            <w:proofErr w:type="spellEnd"/>
            <w:r w:rsidRPr="004956B1">
              <w:rPr>
                <w:sz w:val="18"/>
                <w:szCs w:val="18"/>
              </w:rPr>
              <w:t xml:space="preserve"> u izvornoj vremenskoj rezoluciji, obavljanje novih mjerenja i kalkulacija, kreiranje anatomskog M prikaza iz snimljenih 2D kino sekvenci, izračuni i izvješća, kvantitativne analize za Doppler </w:t>
            </w:r>
            <w:proofErr w:type="spellStart"/>
            <w:r w:rsidRPr="004956B1">
              <w:rPr>
                <w:sz w:val="18"/>
                <w:szCs w:val="18"/>
              </w:rPr>
              <w:t>miokarda</w:t>
            </w:r>
            <w:proofErr w:type="spellEnd"/>
            <w:r w:rsidRPr="004956B1">
              <w:rPr>
                <w:sz w:val="18"/>
                <w:szCs w:val="18"/>
              </w:rPr>
              <w:t xml:space="preserve">, deformacije metodom praćenja referentne točke, 2D </w:t>
            </w:r>
            <w:proofErr w:type="spellStart"/>
            <w:r w:rsidRPr="004956B1">
              <w:rPr>
                <w:sz w:val="18"/>
                <w:szCs w:val="18"/>
              </w:rPr>
              <w:t>strain</w:t>
            </w:r>
            <w:proofErr w:type="spellEnd"/>
            <w:r w:rsidRPr="004956B1">
              <w:rPr>
                <w:sz w:val="18"/>
                <w:szCs w:val="18"/>
              </w:rPr>
              <w:t xml:space="preserve"> analize, automatska evaluacija funkcije lijevog </w:t>
            </w:r>
            <w:proofErr w:type="spellStart"/>
            <w:r w:rsidRPr="004956B1">
              <w:rPr>
                <w:sz w:val="18"/>
                <w:szCs w:val="18"/>
              </w:rPr>
              <w:t>ventrikula</w:t>
            </w:r>
            <w:proofErr w:type="spellEnd"/>
            <w:r w:rsidRPr="004956B1">
              <w:rPr>
                <w:sz w:val="18"/>
                <w:szCs w:val="18"/>
              </w:rPr>
              <w:t xml:space="preserve"> iz 2D podataka "</w:t>
            </w:r>
            <w:proofErr w:type="spellStart"/>
            <w:r w:rsidRPr="004956B1">
              <w:rPr>
                <w:sz w:val="18"/>
                <w:szCs w:val="18"/>
              </w:rPr>
              <w:t>speckle</w:t>
            </w:r>
            <w:proofErr w:type="spellEnd"/>
            <w:r w:rsidRPr="004956B1">
              <w:rPr>
                <w:sz w:val="18"/>
                <w:szCs w:val="18"/>
              </w:rPr>
              <w:t xml:space="preserve"> </w:t>
            </w:r>
            <w:proofErr w:type="spellStart"/>
            <w:r w:rsidRPr="004956B1">
              <w:rPr>
                <w:sz w:val="18"/>
                <w:szCs w:val="18"/>
              </w:rPr>
              <w:t>tracking</w:t>
            </w:r>
            <w:proofErr w:type="spellEnd"/>
            <w:r w:rsidRPr="004956B1">
              <w:rPr>
                <w:sz w:val="18"/>
                <w:szCs w:val="18"/>
              </w:rPr>
              <w:t>" metodom, dvosmjeran protok podataka.</w:t>
            </w:r>
          </w:p>
        </w:tc>
        <w:tc>
          <w:tcPr>
            <w:tcW w:w="1276" w:type="dxa"/>
            <w:shd w:val="clear" w:color="CCFFFF" w:fill="DAE3F3"/>
            <w:vAlign w:val="center"/>
          </w:tcPr>
          <w:p w:rsidR="004956B1" w:rsidRPr="00B10E7F" w:rsidRDefault="004956B1" w:rsidP="004956B1">
            <w:pPr>
              <w:pStyle w:val="Odlomakpopisa"/>
              <w:spacing w:before="0" w:after="0"/>
              <w:ind w:left="0"/>
              <w:jc w:val="center"/>
              <w:rPr>
                <w:sz w:val="18"/>
                <w:szCs w:val="18"/>
              </w:rPr>
            </w:pPr>
            <w:r>
              <w:rPr>
                <w:sz w:val="18"/>
                <w:szCs w:val="18"/>
              </w:rPr>
              <w:t>10</w:t>
            </w:r>
          </w:p>
        </w:tc>
      </w:tr>
      <w:tr w:rsidR="004956B1" w:rsidRPr="00B10E7F" w:rsidTr="00635CD9">
        <w:trPr>
          <w:trHeight w:val="300"/>
          <w:jc w:val="center"/>
        </w:trPr>
        <w:tc>
          <w:tcPr>
            <w:tcW w:w="728" w:type="dxa"/>
            <w:shd w:val="clear" w:color="auto" w:fill="auto"/>
            <w:noWrap/>
            <w:vAlign w:val="center"/>
          </w:tcPr>
          <w:p w:rsidR="004956B1" w:rsidRPr="00B10E7F" w:rsidRDefault="004956B1" w:rsidP="004956B1">
            <w:pPr>
              <w:spacing w:before="0" w:after="0"/>
              <w:jc w:val="center"/>
              <w:rPr>
                <w:color w:val="000000"/>
                <w:sz w:val="18"/>
                <w:szCs w:val="18"/>
              </w:rPr>
            </w:pPr>
            <w:r>
              <w:rPr>
                <w:color w:val="000000"/>
                <w:sz w:val="18"/>
                <w:szCs w:val="18"/>
              </w:rPr>
              <w:t>2.</w:t>
            </w:r>
          </w:p>
        </w:tc>
        <w:tc>
          <w:tcPr>
            <w:tcW w:w="7772" w:type="dxa"/>
            <w:shd w:val="clear" w:color="auto" w:fill="auto"/>
            <w:vAlign w:val="center"/>
          </w:tcPr>
          <w:p w:rsidR="004956B1" w:rsidRPr="004956B1" w:rsidRDefault="004956B1" w:rsidP="00635CD9">
            <w:pPr>
              <w:spacing w:before="0" w:after="0"/>
              <w:rPr>
                <w:sz w:val="18"/>
                <w:szCs w:val="18"/>
              </w:rPr>
            </w:pPr>
            <w:r w:rsidRPr="004956B1">
              <w:rPr>
                <w:sz w:val="18"/>
                <w:szCs w:val="18"/>
              </w:rPr>
              <w:t xml:space="preserve">Mogućnost priključka i kompatibilnost u radu s postojećom 3D/4D TEE sondom, </w:t>
            </w:r>
            <w:proofErr w:type="spellStart"/>
            <w:r w:rsidRPr="004956B1">
              <w:rPr>
                <w:sz w:val="18"/>
                <w:szCs w:val="18"/>
              </w:rPr>
              <w:t>pencil</w:t>
            </w:r>
            <w:proofErr w:type="spellEnd"/>
            <w:r w:rsidRPr="004956B1">
              <w:rPr>
                <w:sz w:val="18"/>
                <w:szCs w:val="18"/>
              </w:rPr>
              <w:t xml:space="preserve"> sondom.</w:t>
            </w:r>
          </w:p>
        </w:tc>
        <w:tc>
          <w:tcPr>
            <w:tcW w:w="1276" w:type="dxa"/>
            <w:shd w:val="clear" w:color="CCFFFF" w:fill="DAE3F3"/>
            <w:vAlign w:val="center"/>
          </w:tcPr>
          <w:p w:rsidR="004956B1" w:rsidRPr="00B10E7F" w:rsidRDefault="004956B1" w:rsidP="004956B1">
            <w:pPr>
              <w:pStyle w:val="Odlomakpopisa"/>
              <w:spacing w:before="0" w:after="0"/>
              <w:ind w:left="0"/>
              <w:jc w:val="center"/>
              <w:rPr>
                <w:sz w:val="18"/>
                <w:szCs w:val="18"/>
              </w:rPr>
            </w:pPr>
            <w:r>
              <w:rPr>
                <w:sz w:val="18"/>
                <w:szCs w:val="18"/>
              </w:rPr>
              <w:t>10</w:t>
            </w:r>
          </w:p>
        </w:tc>
      </w:tr>
      <w:tr w:rsidR="004956B1" w:rsidRPr="00B10E7F" w:rsidTr="00635CD9">
        <w:trPr>
          <w:trHeight w:val="300"/>
          <w:jc w:val="center"/>
        </w:trPr>
        <w:tc>
          <w:tcPr>
            <w:tcW w:w="728" w:type="dxa"/>
            <w:shd w:val="clear" w:color="auto" w:fill="auto"/>
            <w:noWrap/>
            <w:vAlign w:val="center"/>
          </w:tcPr>
          <w:p w:rsidR="004956B1" w:rsidRPr="00B10E7F" w:rsidRDefault="004956B1" w:rsidP="004956B1">
            <w:pPr>
              <w:spacing w:before="0" w:after="0"/>
              <w:jc w:val="center"/>
              <w:rPr>
                <w:color w:val="000000"/>
                <w:sz w:val="18"/>
                <w:szCs w:val="18"/>
              </w:rPr>
            </w:pPr>
            <w:r>
              <w:rPr>
                <w:color w:val="000000"/>
                <w:sz w:val="18"/>
                <w:szCs w:val="18"/>
              </w:rPr>
              <w:t>3.</w:t>
            </w:r>
          </w:p>
        </w:tc>
        <w:tc>
          <w:tcPr>
            <w:tcW w:w="7772" w:type="dxa"/>
            <w:shd w:val="clear" w:color="auto" w:fill="auto"/>
          </w:tcPr>
          <w:p w:rsidR="004956B1" w:rsidRPr="004956B1" w:rsidRDefault="004956B1" w:rsidP="00635CD9">
            <w:pPr>
              <w:spacing w:before="0" w:after="0"/>
              <w:rPr>
                <w:color w:val="000000"/>
                <w:sz w:val="18"/>
                <w:szCs w:val="18"/>
              </w:rPr>
            </w:pPr>
            <w:r w:rsidRPr="004956B1">
              <w:rPr>
                <w:color w:val="000000"/>
                <w:sz w:val="18"/>
                <w:szCs w:val="18"/>
              </w:rPr>
              <w:t xml:space="preserve">Podrška za </w:t>
            </w:r>
            <w:proofErr w:type="spellStart"/>
            <w:r w:rsidRPr="004956B1">
              <w:rPr>
                <w:color w:val="000000"/>
                <w:sz w:val="18"/>
                <w:szCs w:val="18"/>
              </w:rPr>
              <w:t>intrakardijalne</w:t>
            </w:r>
            <w:proofErr w:type="spellEnd"/>
            <w:r w:rsidRPr="004956B1">
              <w:rPr>
                <w:color w:val="000000"/>
                <w:sz w:val="18"/>
                <w:szCs w:val="18"/>
              </w:rPr>
              <w:t xml:space="preserve"> (ICE) sonde za </w:t>
            </w:r>
            <w:proofErr w:type="spellStart"/>
            <w:r w:rsidRPr="004956B1">
              <w:rPr>
                <w:color w:val="000000"/>
                <w:sz w:val="18"/>
                <w:szCs w:val="18"/>
              </w:rPr>
              <w:t>elektrofiziološke</w:t>
            </w:r>
            <w:proofErr w:type="spellEnd"/>
            <w:r w:rsidRPr="004956B1">
              <w:rPr>
                <w:color w:val="000000"/>
                <w:sz w:val="18"/>
                <w:szCs w:val="18"/>
              </w:rPr>
              <w:t xml:space="preserve"> procedure i intervencijsko liječenje strukturalnih bolesti srca.</w:t>
            </w:r>
          </w:p>
        </w:tc>
        <w:tc>
          <w:tcPr>
            <w:tcW w:w="1276" w:type="dxa"/>
            <w:shd w:val="clear" w:color="CCFFFF" w:fill="DAE3F3"/>
            <w:vAlign w:val="center"/>
          </w:tcPr>
          <w:p w:rsidR="004956B1" w:rsidRPr="00B10E7F" w:rsidRDefault="004956B1" w:rsidP="004956B1">
            <w:pPr>
              <w:pStyle w:val="Odlomakpopisa"/>
              <w:spacing w:before="0" w:after="0"/>
              <w:ind w:left="0"/>
              <w:jc w:val="center"/>
              <w:rPr>
                <w:sz w:val="18"/>
                <w:szCs w:val="18"/>
              </w:rPr>
            </w:pPr>
            <w:r>
              <w:rPr>
                <w:sz w:val="18"/>
                <w:szCs w:val="18"/>
              </w:rPr>
              <w:t>10</w:t>
            </w:r>
          </w:p>
        </w:tc>
      </w:tr>
    </w:tbl>
    <w:p w:rsidR="004956B1" w:rsidRDefault="004956B1" w:rsidP="004956B1">
      <w:pPr>
        <w:suppressAutoHyphens/>
        <w:spacing w:line="276" w:lineRule="auto"/>
        <w:ind w:left="502"/>
        <w:rPr>
          <w:lang w:eastAsia="zh-CN"/>
        </w:rPr>
      </w:pPr>
      <w:r w:rsidRPr="00946BEE">
        <w:rPr>
          <w:lang w:eastAsia="zh-CN"/>
        </w:rPr>
        <w:t xml:space="preserve">Maksimalan broj bodova koji ponuditelji mogu dobiti bodovanjem ponude po kriteriju </w:t>
      </w:r>
      <w:r>
        <w:rPr>
          <w:lang w:eastAsia="zh-CN"/>
        </w:rPr>
        <w:t xml:space="preserve">dodatnih </w:t>
      </w:r>
      <w:r w:rsidRPr="00A03D33">
        <w:rPr>
          <w:lang w:eastAsia="zh-CN"/>
        </w:rPr>
        <w:t xml:space="preserve">kriterija kvalitete zbrajanjem svih bodova sukladno iskazanim bodovima u tablici iznosi </w:t>
      </w:r>
      <w:r>
        <w:rPr>
          <w:lang w:eastAsia="zh-CN"/>
        </w:rPr>
        <w:t>3</w:t>
      </w:r>
      <w:r w:rsidRPr="00A03D33">
        <w:rPr>
          <w:lang w:eastAsia="zh-CN"/>
        </w:rPr>
        <w:t>0 (</w:t>
      </w:r>
      <w:r>
        <w:rPr>
          <w:lang w:eastAsia="zh-CN"/>
        </w:rPr>
        <w:t>tri</w:t>
      </w:r>
      <w:r w:rsidRPr="00A03D33">
        <w:rPr>
          <w:lang w:eastAsia="zh-CN"/>
        </w:rPr>
        <w:t>deset) bodova.</w:t>
      </w:r>
      <w:r w:rsidRPr="00946BEE">
        <w:rPr>
          <w:lang w:eastAsia="zh-CN"/>
        </w:rPr>
        <w:t xml:space="preserve"> </w:t>
      </w:r>
    </w:p>
    <w:p w:rsidR="004956B1" w:rsidRDefault="004956B1" w:rsidP="004956B1">
      <w:pPr>
        <w:suppressAutoHyphens/>
        <w:spacing w:line="276" w:lineRule="auto"/>
        <w:ind w:left="502"/>
      </w:pPr>
      <w:r w:rsidRPr="00946BEE">
        <w:lastRenderedPageBreak/>
        <w:t>Ponuditelj je dužan popuni</w:t>
      </w:r>
      <w:r>
        <w:t>ti i u ponudi dostaviti</w:t>
      </w:r>
      <w:r w:rsidRPr="00946BEE">
        <w:t xml:space="preserve">: </w:t>
      </w:r>
      <w:r w:rsidR="00CA5248" w:rsidRPr="00CA5248">
        <w:rPr>
          <w:i/>
        </w:rPr>
        <w:t>1</w:t>
      </w:r>
      <w:r w:rsidRPr="00281C04">
        <w:rPr>
          <w:i/>
        </w:rPr>
        <w:t>. O</w:t>
      </w:r>
      <w:r w:rsidRPr="00907FE4">
        <w:rPr>
          <w:i/>
        </w:rPr>
        <w:t xml:space="preserve">brazac: Kriterij za izračun </w:t>
      </w:r>
      <w:proofErr w:type="spellStart"/>
      <w:r w:rsidRPr="00907FE4">
        <w:rPr>
          <w:i/>
        </w:rPr>
        <w:t>ENP</w:t>
      </w:r>
      <w:r>
        <w:rPr>
          <w:i/>
        </w:rPr>
        <w:t>_</w:t>
      </w:r>
      <w:r w:rsidRPr="00907FE4">
        <w:rPr>
          <w:i/>
        </w:rPr>
        <w:t>Dodatn</w:t>
      </w:r>
      <w:r>
        <w:rPr>
          <w:i/>
        </w:rPr>
        <w:t>i</w:t>
      </w:r>
      <w:proofErr w:type="spellEnd"/>
      <w:r w:rsidRPr="00907FE4">
        <w:rPr>
          <w:i/>
        </w:rPr>
        <w:t xml:space="preserve"> </w:t>
      </w:r>
      <w:r>
        <w:rPr>
          <w:i/>
        </w:rPr>
        <w:t xml:space="preserve">kriterij </w:t>
      </w:r>
      <w:proofErr w:type="spellStart"/>
      <w:r>
        <w:rPr>
          <w:i/>
        </w:rPr>
        <w:t>kvalitete_Grupa</w:t>
      </w:r>
      <w:proofErr w:type="spellEnd"/>
      <w:r>
        <w:rPr>
          <w:i/>
        </w:rPr>
        <w:t xml:space="preserve"> </w:t>
      </w:r>
      <w:r>
        <w:rPr>
          <w:i/>
        </w:rPr>
        <w:t>2</w:t>
      </w:r>
      <w:r>
        <w:rPr>
          <w:i/>
        </w:rPr>
        <w:t xml:space="preserve">. </w:t>
      </w:r>
      <w:r w:rsidRPr="00907FE4">
        <w:t xml:space="preserve">Predložak </w:t>
      </w:r>
      <w:r>
        <w:t>obrasca</w:t>
      </w:r>
      <w:r w:rsidRPr="00907FE4">
        <w:t xml:space="preserve"> nalazi </w:t>
      </w:r>
      <w:r>
        <w:t xml:space="preserve">se </w:t>
      </w:r>
      <w:r w:rsidRPr="00907FE4">
        <w:t>u ostalim informacijama u prilogu.</w:t>
      </w:r>
      <w:r>
        <w:t xml:space="preserve"> </w:t>
      </w:r>
    </w:p>
    <w:p w:rsidR="004956B1" w:rsidRPr="00907FE4" w:rsidRDefault="004956B1" w:rsidP="004956B1">
      <w:pPr>
        <w:suppressAutoHyphens/>
        <w:spacing w:line="276" w:lineRule="auto"/>
        <w:ind w:left="502"/>
        <w:rPr>
          <w:lang w:eastAsia="zh-CN"/>
        </w:rPr>
      </w:pPr>
      <w:r w:rsidRPr="00946BEE">
        <w:t xml:space="preserve">Svako dodatno svojstvo ponuđenog proizvoda ponuditelji </w:t>
      </w:r>
      <w:r w:rsidRPr="00946BEE">
        <w:rPr>
          <w:u w:val="single"/>
        </w:rPr>
        <w:t>dokazuju katalogom, prospektom proizvoda, tehničkom dokumentacijom ili Izjavom proizvođača ili ovlaštenog zastupnika proizvođača opreme u EU koje su obvezni dostaviti kao sastavni dio elektroničke ponude</w:t>
      </w:r>
      <w:r>
        <w:rPr>
          <w:u w:val="single"/>
        </w:rPr>
        <w:t>.</w:t>
      </w:r>
      <w:r w:rsidRPr="00946BEE">
        <w:t xml:space="preserve"> </w:t>
      </w:r>
    </w:p>
    <w:p w:rsidR="004956B1" w:rsidRPr="00A90F5D" w:rsidRDefault="004956B1" w:rsidP="004956B1">
      <w:pPr>
        <w:pStyle w:val="Odlomakpopisa"/>
        <w:spacing w:after="0" w:line="276" w:lineRule="auto"/>
        <w:ind w:left="0"/>
        <w:contextualSpacing w:val="0"/>
        <w:rPr>
          <w:lang w:eastAsia="zh-CN"/>
        </w:rPr>
      </w:pPr>
      <w:r w:rsidRPr="00946BEE">
        <w:t xml:space="preserve">Ukoliko Ponuditelj ne dostavi </w:t>
      </w:r>
      <w:bookmarkStart w:id="11" w:name="_GoBack"/>
      <w:bookmarkEnd w:id="11"/>
      <w:r w:rsidR="00CA5248">
        <w:rPr>
          <w:i/>
        </w:rPr>
        <w:t>1</w:t>
      </w:r>
      <w:r w:rsidRPr="00281C04">
        <w:rPr>
          <w:i/>
        </w:rPr>
        <w:t>. Obrazac</w:t>
      </w:r>
      <w:r w:rsidRPr="00907FE4">
        <w:rPr>
          <w:i/>
        </w:rPr>
        <w:t xml:space="preserve">: Kriterij za izračun </w:t>
      </w:r>
      <w:proofErr w:type="spellStart"/>
      <w:r w:rsidRPr="00907FE4">
        <w:rPr>
          <w:i/>
        </w:rPr>
        <w:t>ENP</w:t>
      </w:r>
      <w:r>
        <w:rPr>
          <w:i/>
        </w:rPr>
        <w:t>_</w:t>
      </w:r>
      <w:r w:rsidRPr="00CC3468">
        <w:rPr>
          <w:i/>
        </w:rPr>
        <w:t>Dodatni</w:t>
      </w:r>
      <w:proofErr w:type="spellEnd"/>
      <w:r w:rsidRPr="00CC3468">
        <w:rPr>
          <w:i/>
        </w:rPr>
        <w:t xml:space="preserve"> kriterij </w:t>
      </w:r>
      <w:proofErr w:type="spellStart"/>
      <w:r w:rsidRPr="00CC3468">
        <w:rPr>
          <w:i/>
        </w:rPr>
        <w:t>kvalitete</w:t>
      </w:r>
      <w:r>
        <w:rPr>
          <w:i/>
        </w:rPr>
        <w:t>_Grupa</w:t>
      </w:r>
      <w:proofErr w:type="spellEnd"/>
      <w:r>
        <w:rPr>
          <w:i/>
        </w:rPr>
        <w:t xml:space="preserve"> </w:t>
      </w:r>
      <w:r>
        <w:rPr>
          <w:i/>
        </w:rPr>
        <w:t>2</w:t>
      </w:r>
      <w:r w:rsidRPr="00946BEE">
        <w:t>, njegova će se ponuda po ovom kriteriju bodovati s 0 (nula) bodova.</w:t>
      </w:r>
      <w:r>
        <w:t xml:space="preserve">   </w:t>
      </w:r>
    </w:p>
    <w:sectPr w:rsidR="004956B1" w:rsidRPr="00A90F5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9360B">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B7CE6"/>
    <w:rsid w:val="001969E9"/>
    <w:rsid w:val="00226EB5"/>
    <w:rsid w:val="002B3E26"/>
    <w:rsid w:val="002B6351"/>
    <w:rsid w:val="003425E3"/>
    <w:rsid w:val="004956B1"/>
    <w:rsid w:val="004B4ED5"/>
    <w:rsid w:val="00560D55"/>
    <w:rsid w:val="00566934"/>
    <w:rsid w:val="00631BE8"/>
    <w:rsid w:val="00635CD9"/>
    <w:rsid w:val="0065178A"/>
    <w:rsid w:val="0066553C"/>
    <w:rsid w:val="006C3359"/>
    <w:rsid w:val="007F3BC9"/>
    <w:rsid w:val="008370EA"/>
    <w:rsid w:val="008411D3"/>
    <w:rsid w:val="00907FE4"/>
    <w:rsid w:val="00946BEE"/>
    <w:rsid w:val="0099360B"/>
    <w:rsid w:val="009A718C"/>
    <w:rsid w:val="00A078EA"/>
    <w:rsid w:val="00A90F5D"/>
    <w:rsid w:val="00AC6F94"/>
    <w:rsid w:val="00B43E76"/>
    <w:rsid w:val="00B81824"/>
    <w:rsid w:val="00BB36BE"/>
    <w:rsid w:val="00BB7332"/>
    <w:rsid w:val="00C85E23"/>
    <w:rsid w:val="00CA5248"/>
    <w:rsid w:val="00CB63A6"/>
    <w:rsid w:val="00CC3468"/>
    <w:rsid w:val="00CF4003"/>
    <w:rsid w:val="00D65F58"/>
    <w:rsid w:val="00DE1BD3"/>
    <w:rsid w:val="00E3423B"/>
    <w:rsid w:val="00E94E6D"/>
    <w:rsid w:val="00F6557B"/>
    <w:rsid w:val="00F949B9"/>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4E0B6"/>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953</Words>
  <Characters>5434</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23</cp:revision>
  <cp:lastPrinted>2025-05-12T12:25:00Z</cp:lastPrinted>
  <dcterms:created xsi:type="dcterms:W3CDTF">2024-01-29T12:54:00Z</dcterms:created>
  <dcterms:modified xsi:type="dcterms:W3CDTF">2025-09-11T10:41:00Z</dcterms:modified>
</cp:coreProperties>
</file>