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D4A3" w14:textId="77777777" w:rsidR="00197E1A" w:rsidRDefault="00197E1A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497A3DDE" w14:textId="77777777" w:rsidR="00737482" w:rsidRPr="00B726C0" w:rsidRDefault="00B726C0" w:rsidP="005E7EC9">
      <w:pPr>
        <w:pBdr>
          <w:top w:val="double" w:sz="4" w:space="1" w:color="auto"/>
          <w:bottom w:val="double" w:sz="4" w:space="1" w:color="auto"/>
        </w:pBdr>
        <w:shd w:val="clear" w:color="auto" w:fill="D5DCE4" w:themeFill="text2" w:themeFillTint="33"/>
        <w:jc w:val="center"/>
        <w:rPr>
          <w:b/>
          <w:sz w:val="32"/>
          <w:szCs w:val="32"/>
        </w:rPr>
      </w:pPr>
      <w:r w:rsidRPr="00B726C0">
        <w:rPr>
          <w:b/>
          <w:sz w:val="32"/>
          <w:szCs w:val="32"/>
        </w:rPr>
        <w:t xml:space="preserve">26400 </w:t>
      </w:r>
      <w:r w:rsidR="00F35AA4">
        <w:rPr>
          <w:b/>
          <w:sz w:val="32"/>
          <w:szCs w:val="32"/>
        </w:rPr>
        <w:t>KLINIČKI BOLNIČKI CENTAR OSIJEK</w:t>
      </w:r>
    </w:p>
    <w:p w14:paraId="71A44084" w14:textId="77777777" w:rsidR="008E7485" w:rsidRPr="008E7485" w:rsidRDefault="008E7485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454C041C" w14:textId="77777777" w:rsidR="008E7485" w:rsidRPr="008E7485" w:rsidRDefault="008E7485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10467F44" w14:textId="77777777" w:rsidR="008E7485" w:rsidRPr="008E7485" w:rsidRDefault="008E7485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7B8D060D" w14:textId="77777777" w:rsidR="008E7485" w:rsidRPr="008E7485" w:rsidRDefault="00826F9D" w:rsidP="008E7485">
      <w:pPr>
        <w:jc w:val="center"/>
        <w:rPr>
          <w:b/>
          <w:color w:val="2F5496" w:themeColor="accent1" w:themeShade="BF"/>
          <w:sz w:val="32"/>
          <w:szCs w:val="32"/>
        </w:rPr>
      </w:pPr>
      <w:r>
        <w:rPr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1E082F0B" wp14:editId="3B016967">
            <wp:extent cx="1396984" cy="1504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763" cy="1520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E2352" w14:textId="77777777" w:rsidR="008E7485" w:rsidRDefault="008E7485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410DF1B5" w14:textId="77777777" w:rsidR="00197E1A" w:rsidRPr="008E7485" w:rsidRDefault="00197E1A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4EFE7C67" w14:textId="77777777" w:rsidR="008E7485" w:rsidRPr="008E7485" w:rsidRDefault="008E7485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13F7587B" w14:textId="77777777" w:rsidR="008E7485" w:rsidRPr="008E7485" w:rsidRDefault="008E7485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130A3117" w14:textId="703EC12F" w:rsidR="008E7485" w:rsidRPr="006A5431" w:rsidRDefault="008E7485" w:rsidP="008E7485">
      <w:pPr>
        <w:jc w:val="center"/>
        <w:rPr>
          <w:b/>
          <w:sz w:val="32"/>
          <w:szCs w:val="32"/>
        </w:rPr>
      </w:pPr>
      <w:r w:rsidRPr="006A5431">
        <w:rPr>
          <w:b/>
          <w:sz w:val="32"/>
          <w:szCs w:val="32"/>
        </w:rPr>
        <w:t>F</w:t>
      </w:r>
      <w:r w:rsidR="00575AE4" w:rsidRPr="006A5431">
        <w:rPr>
          <w:b/>
          <w:sz w:val="32"/>
          <w:szCs w:val="32"/>
        </w:rPr>
        <w:t>INANCIJSKI PLAN ZA 202</w:t>
      </w:r>
      <w:r w:rsidR="00BE502D">
        <w:rPr>
          <w:b/>
          <w:sz w:val="32"/>
          <w:szCs w:val="32"/>
        </w:rPr>
        <w:t>5</w:t>
      </w:r>
      <w:r w:rsidR="00575AE4" w:rsidRPr="006A5431">
        <w:rPr>
          <w:b/>
          <w:sz w:val="32"/>
          <w:szCs w:val="32"/>
        </w:rPr>
        <w:t xml:space="preserve">. </w:t>
      </w:r>
      <w:r w:rsidR="00680F6A">
        <w:rPr>
          <w:b/>
          <w:sz w:val="32"/>
          <w:szCs w:val="32"/>
        </w:rPr>
        <w:t>– 1.rebalans</w:t>
      </w:r>
    </w:p>
    <w:p w14:paraId="090A00FF" w14:textId="77777777" w:rsidR="008E7485" w:rsidRPr="006A5431" w:rsidRDefault="008E7485" w:rsidP="008E7485">
      <w:pPr>
        <w:jc w:val="center"/>
        <w:rPr>
          <w:b/>
          <w:sz w:val="32"/>
          <w:szCs w:val="32"/>
        </w:rPr>
      </w:pPr>
    </w:p>
    <w:p w14:paraId="5FD4EE9B" w14:textId="77777777" w:rsidR="008E7485" w:rsidRPr="00B726C0" w:rsidRDefault="008E7485" w:rsidP="008E7485">
      <w:pPr>
        <w:jc w:val="center"/>
        <w:rPr>
          <w:b/>
          <w:sz w:val="32"/>
          <w:szCs w:val="32"/>
        </w:rPr>
      </w:pPr>
    </w:p>
    <w:p w14:paraId="06D2A474" w14:textId="77777777" w:rsidR="008E7485" w:rsidRPr="00B726C0" w:rsidRDefault="008E7485" w:rsidP="008E7485">
      <w:pPr>
        <w:jc w:val="center"/>
        <w:rPr>
          <w:b/>
          <w:sz w:val="32"/>
          <w:szCs w:val="32"/>
        </w:rPr>
      </w:pPr>
    </w:p>
    <w:p w14:paraId="59FB9815" w14:textId="77777777" w:rsidR="008E7485" w:rsidRPr="00B726C0" w:rsidRDefault="008E7485" w:rsidP="008E7485">
      <w:pPr>
        <w:jc w:val="center"/>
        <w:rPr>
          <w:b/>
          <w:sz w:val="32"/>
          <w:szCs w:val="32"/>
        </w:rPr>
      </w:pPr>
    </w:p>
    <w:p w14:paraId="24064256" w14:textId="77777777" w:rsidR="008E7485" w:rsidRPr="00B726C0" w:rsidRDefault="008E7485" w:rsidP="008E7485">
      <w:pPr>
        <w:jc w:val="center"/>
        <w:rPr>
          <w:b/>
          <w:sz w:val="32"/>
          <w:szCs w:val="32"/>
        </w:rPr>
      </w:pPr>
    </w:p>
    <w:p w14:paraId="1F2B9584" w14:textId="77777777" w:rsidR="008E7485" w:rsidRPr="00B726C0" w:rsidRDefault="008E7485" w:rsidP="008E7485">
      <w:pPr>
        <w:jc w:val="center"/>
        <w:rPr>
          <w:b/>
          <w:sz w:val="32"/>
          <w:szCs w:val="32"/>
        </w:rPr>
      </w:pPr>
    </w:p>
    <w:p w14:paraId="6613AC3D" w14:textId="77777777" w:rsidR="008E7485" w:rsidRPr="00B726C0" w:rsidRDefault="008E7485" w:rsidP="008E7485">
      <w:pPr>
        <w:jc w:val="center"/>
        <w:rPr>
          <w:b/>
          <w:sz w:val="32"/>
          <w:szCs w:val="32"/>
        </w:rPr>
      </w:pPr>
    </w:p>
    <w:p w14:paraId="1BC37E59" w14:textId="5E5F8D93" w:rsidR="008E7485" w:rsidRPr="00A075F9" w:rsidRDefault="008E7485" w:rsidP="008E7485">
      <w:pPr>
        <w:jc w:val="center"/>
        <w:rPr>
          <w:color w:val="2F5496" w:themeColor="accent1" w:themeShade="BF"/>
          <w:sz w:val="32"/>
          <w:szCs w:val="32"/>
        </w:rPr>
      </w:pPr>
      <w:r w:rsidRPr="00B726C0">
        <w:rPr>
          <w:sz w:val="32"/>
          <w:szCs w:val="32"/>
        </w:rPr>
        <w:t xml:space="preserve">Osijek, </w:t>
      </w:r>
      <w:r w:rsidR="0067414A">
        <w:rPr>
          <w:sz w:val="32"/>
          <w:szCs w:val="32"/>
        </w:rPr>
        <w:t>listopad</w:t>
      </w:r>
      <w:r w:rsidR="009C7DAB">
        <w:rPr>
          <w:sz w:val="32"/>
          <w:szCs w:val="32"/>
        </w:rPr>
        <w:t xml:space="preserve"> 202</w:t>
      </w:r>
      <w:r w:rsidR="00BE502D">
        <w:rPr>
          <w:sz w:val="32"/>
          <w:szCs w:val="32"/>
        </w:rPr>
        <w:t>5</w:t>
      </w:r>
      <w:r w:rsidRPr="00A075F9">
        <w:rPr>
          <w:color w:val="2F5496" w:themeColor="accent1" w:themeShade="BF"/>
          <w:sz w:val="32"/>
          <w:szCs w:val="32"/>
        </w:rPr>
        <w:t>.</w:t>
      </w:r>
    </w:p>
    <w:p w14:paraId="35D2DC2C" w14:textId="77777777" w:rsidR="00A075F9" w:rsidRDefault="00A075F9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75555488" w14:textId="77777777" w:rsidR="00A075F9" w:rsidRDefault="00A075F9" w:rsidP="008E7485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6598C95C" w14:textId="77777777" w:rsidR="00A075F9" w:rsidRPr="00B726C0" w:rsidRDefault="00A075F9" w:rsidP="008E7485">
      <w:pPr>
        <w:jc w:val="center"/>
        <w:rPr>
          <w:b/>
          <w:sz w:val="32"/>
          <w:szCs w:val="32"/>
        </w:rPr>
      </w:pPr>
    </w:p>
    <w:p w14:paraId="3171B440" w14:textId="77777777" w:rsidR="00A075F9" w:rsidRPr="00052FFF" w:rsidRDefault="00F35AA4" w:rsidP="005E7EC9">
      <w:pPr>
        <w:pBdr>
          <w:top w:val="double" w:sz="4" w:space="1" w:color="auto"/>
          <w:bottom w:val="double" w:sz="4" w:space="1" w:color="auto"/>
        </w:pBdr>
        <w:shd w:val="clear" w:color="auto" w:fill="D5DCE4" w:themeFill="text2" w:themeFillTint="33"/>
        <w:jc w:val="center"/>
        <w:rPr>
          <w:b/>
          <w:sz w:val="32"/>
          <w:szCs w:val="32"/>
        </w:rPr>
      </w:pPr>
      <w:r w:rsidRPr="00052FFF">
        <w:rPr>
          <w:b/>
          <w:sz w:val="32"/>
          <w:szCs w:val="32"/>
        </w:rPr>
        <w:t>SADRŽAJ</w:t>
      </w:r>
    </w:p>
    <w:p w14:paraId="721CCF51" w14:textId="77777777" w:rsidR="00A075F9" w:rsidRPr="00B726C0" w:rsidRDefault="00A075F9" w:rsidP="008E7485">
      <w:pPr>
        <w:jc w:val="center"/>
        <w:rPr>
          <w:sz w:val="32"/>
          <w:szCs w:val="32"/>
        </w:rPr>
      </w:pPr>
    </w:p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182677665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64A4EFC" w14:textId="77777777" w:rsidR="00AD360A" w:rsidRDefault="00AD360A">
          <w:pPr>
            <w:pStyle w:val="TOCNaslov"/>
          </w:pPr>
        </w:p>
        <w:p w14:paraId="7BC4FD6C" w14:textId="336D4527" w:rsidR="009D6532" w:rsidRPr="00053754" w:rsidRDefault="00AD360A" w:rsidP="00053754">
          <w:pPr>
            <w:pStyle w:val="Sadraj1"/>
            <w:rPr>
              <w:rFonts w:eastAsiaTheme="minorEastAsia" w:cstheme="minorBidi"/>
              <w:lang w:eastAsia="hr-HR"/>
            </w:rPr>
          </w:pPr>
          <w:r>
            <w:rPr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sz w:val="32"/>
              <w:szCs w:val="32"/>
            </w:rPr>
            <w:fldChar w:fldCharType="separate"/>
          </w:r>
          <w:hyperlink w:anchor="_Toc116997198" w:history="1">
            <w:r w:rsidR="009D6532" w:rsidRPr="00053754">
              <w:rPr>
                <w:rStyle w:val="Hiperveza"/>
              </w:rPr>
              <w:t>1.</w:t>
            </w:r>
            <w:r w:rsidR="009D6532" w:rsidRPr="00053754">
              <w:rPr>
                <w:rFonts w:eastAsiaTheme="minorEastAsia" w:cstheme="minorBidi"/>
                <w:lang w:eastAsia="hr-HR"/>
              </w:rPr>
              <w:tab/>
            </w:r>
            <w:r w:rsidR="009D6532" w:rsidRPr="00053754">
              <w:rPr>
                <w:rStyle w:val="Hiperveza"/>
              </w:rPr>
              <w:t>OPĆI DIO</w:t>
            </w:r>
            <w:r w:rsidR="009D6532" w:rsidRPr="00053754">
              <w:rPr>
                <w:webHidden/>
              </w:rPr>
              <w:tab/>
            </w:r>
            <w:r w:rsidR="009D6532" w:rsidRPr="00053754">
              <w:rPr>
                <w:webHidden/>
              </w:rPr>
              <w:fldChar w:fldCharType="begin"/>
            </w:r>
            <w:r w:rsidR="009D6532" w:rsidRPr="00053754">
              <w:rPr>
                <w:webHidden/>
              </w:rPr>
              <w:instrText xml:space="preserve"> PAGEREF _Toc116997198 \h </w:instrText>
            </w:r>
            <w:r w:rsidR="009D6532" w:rsidRPr="00053754">
              <w:rPr>
                <w:webHidden/>
              </w:rPr>
            </w:r>
            <w:r w:rsidR="009D6532" w:rsidRPr="00053754">
              <w:rPr>
                <w:webHidden/>
              </w:rPr>
              <w:fldChar w:fldCharType="separate"/>
            </w:r>
            <w:r w:rsidR="00421855">
              <w:rPr>
                <w:webHidden/>
              </w:rPr>
              <w:t>3</w:t>
            </w:r>
            <w:r w:rsidR="009D6532" w:rsidRPr="00053754">
              <w:rPr>
                <w:webHidden/>
              </w:rPr>
              <w:fldChar w:fldCharType="end"/>
            </w:r>
          </w:hyperlink>
        </w:p>
        <w:p w14:paraId="4F3B1D4E" w14:textId="4DEB61C9" w:rsidR="009D6532" w:rsidRPr="00053754" w:rsidRDefault="00EB5C7E" w:rsidP="00053754">
          <w:pPr>
            <w:pStyle w:val="Sadraj1"/>
            <w:rPr>
              <w:rFonts w:eastAsiaTheme="minorEastAsia" w:cstheme="minorBidi"/>
              <w:lang w:eastAsia="hr-HR"/>
            </w:rPr>
          </w:pPr>
          <w:hyperlink w:anchor="_Toc116997199" w:history="1">
            <w:r w:rsidR="009D6532" w:rsidRPr="00053754">
              <w:rPr>
                <w:rStyle w:val="Hiperveza"/>
              </w:rPr>
              <w:t>2.</w:t>
            </w:r>
            <w:r w:rsidR="009D6532" w:rsidRPr="00053754">
              <w:rPr>
                <w:rFonts w:eastAsiaTheme="minorEastAsia" w:cstheme="minorBidi"/>
                <w:lang w:eastAsia="hr-HR"/>
              </w:rPr>
              <w:tab/>
            </w:r>
            <w:r w:rsidR="009D6532" w:rsidRPr="00053754">
              <w:rPr>
                <w:rStyle w:val="Hiperveza"/>
              </w:rPr>
              <w:t>OBRAZLOŽENJE OPĆEG DIJELA FINANCIJSKOG PLANA</w:t>
            </w:r>
            <w:r w:rsidR="009D6532" w:rsidRPr="00053754">
              <w:rPr>
                <w:webHidden/>
              </w:rPr>
              <w:tab/>
            </w:r>
            <w:r w:rsidR="009D6532" w:rsidRPr="00053754">
              <w:rPr>
                <w:webHidden/>
              </w:rPr>
              <w:fldChar w:fldCharType="begin"/>
            </w:r>
            <w:r w:rsidR="009D6532" w:rsidRPr="00053754">
              <w:rPr>
                <w:webHidden/>
              </w:rPr>
              <w:instrText xml:space="preserve"> PAGEREF _Toc116997199 \h </w:instrText>
            </w:r>
            <w:r w:rsidR="009D6532" w:rsidRPr="00053754">
              <w:rPr>
                <w:webHidden/>
              </w:rPr>
            </w:r>
            <w:r w:rsidR="009D6532" w:rsidRPr="00053754">
              <w:rPr>
                <w:webHidden/>
              </w:rPr>
              <w:fldChar w:fldCharType="separate"/>
            </w:r>
            <w:r w:rsidR="00421855">
              <w:rPr>
                <w:webHidden/>
              </w:rPr>
              <w:t>8</w:t>
            </w:r>
            <w:r w:rsidR="009D6532" w:rsidRPr="00053754">
              <w:rPr>
                <w:webHidden/>
              </w:rPr>
              <w:fldChar w:fldCharType="end"/>
            </w:r>
          </w:hyperlink>
        </w:p>
        <w:p w14:paraId="29E029F4" w14:textId="2C4E3E62" w:rsidR="009D6532" w:rsidRPr="00053754" w:rsidRDefault="00EB5C7E" w:rsidP="00053754">
          <w:pPr>
            <w:pStyle w:val="Sadraj1"/>
            <w:rPr>
              <w:rFonts w:eastAsiaTheme="minorEastAsia" w:cstheme="minorBidi"/>
              <w:lang w:eastAsia="hr-HR"/>
            </w:rPr>
          </w:pPr>
          <w:hyperlink w:anchor="_Toc116997200" w:history="1">
            <w:r w:rsidR="009D6532" w:rsidRPr="00053754">
              <w:rPr>
                <w:rStyle w:val="Hiperveza"/>
              </w:rPr>
              <w:t>3.</w:t>
            </w:r>
            <w:r w:rsidR="009D6532" w:rsidRPr="00053754">
              <w:rPr>
                <w:rFonts w:eastAsiaTheme="minorEastAsia" w:cstheme="minorBidi"/>
                <w:lang w:eastAsia="hr-HR"/>
              </w:rPr>
              <w:tab/>
            </w:r>
            <w:r w:rsidR="009D6532" w:rsidRPr="00053754">
              <w:rPr>
                <w:rStyle w:val="Hiperveza"/>
              </w:rPr>
              <w:t>POSEBNI DIO</w:t>
            </w:r>
            <w:r w:rsidR="009D6532" w:rsidRPr="00053754">
              <w:rPr>
                <w:webHidden/>
              </w:rPr>
              <w:tab/>
            </w:r>
            <w:r w:rsidR="009D6532" w:rsidRPr="00053754">
              <w:rPr>
                <w:webHidden/>
              </w:rPr>
              <w:fldChar w:fldCharType="begin"/>
            </w:r>
            <w:r w:rsidR="009D6532" w:rsidRPr="00053754">
              <w:rPr>
                <w:webHidden/>
              </w:rPr>
              <w:instrText xml:space="preserve"> PAGEREF _Toc116997200 \h </w:instrText>
            </w:r>
            <w:r w:rsidR="009D6532" w:rsidRPr="00053754">
              <w:rPr>
                <w:webHidden/>
              </w:rPr>
            </w:r>
            <w:r w:rsidR="009D6532" w:rsidRPr="00053754">
              <w:rPr>
                <w:webHidden/>
              </w:rPr>
              <w:fldChar w:fldCharType="separate"/>
            </w:r>
            <w:r w:rsidR="00421855">
              <w:rPr>
                <w:webHidden/>
              </w:rPr>
              <w:t>10</w:t>
            </w:r>
            <w:r w:rsidR="009D6532" w:rsidRPr="00053754">
              <w:rPr>
                <w:webHidden/>
              </w:rPr>
              <w:fldChar w:fldCharType="end"/>
            </w:r>
          </w:hyperlink>
        </w:p>
        <w:p w14:paraId="17B64FB5" w14:textId="565939DF" w:rsidR="009D6532" w:rsidRPr="00053754" w:rsidRDefault="00EB5C7E" w:rsidP="00053754">
          <w:pPr>
            <w:pStyle w:val="Sadraj1"/>
            <w:rPr>
              <w:rFonts w:eastAsiaTheme="minorEastAsia" w:cstheme="minorBidi"/>
              <w:lang w:eastAsia="hr-HR"/>
            </w:rPr>
          </w:pPr>
          <w:hyperlink w:anchor="_Toc116997201" w:history="1">
            <w:r w:rsidR="009D6532" w:rsidRPr="00053754">
              <w:rPr>
                <w:rStyle w:val="Hiperveza"/>
              </w:rPr>
              <w:t>4.</w:t>
            </w:r>
            <w:r w:rsidR="009D6532" w:rsidRPr="00053754">
              <w:rPr>
                <w:rFonts w:eastAsiaTheme="minorEastAsia" w:cstheme="minorBidi"/>
                <w:lang w:eastAsia="hr-HR"/>
              </w:rPr>
              <w:tab/>
            </w:r>
            <w:r w:rsidR="009D6532" w:rsidRPr="00053754">
              <w:rPr>
                <w:rStyle w:val="Hiperveza"/>
              </w:rPr>
              <w:t>OBRAZLOŽENJE POSEBNOG DIJELA</w:t>
            </w:r>
            <w:r w:rsidR="009D6532" w:rsidRPr="00053754">
              <w:rPr>
                <w:webHidden/>
              </w:rPr>
              <w:tab/>
            </w:r>
            <w:r w:rsidR="009D6532" w:rsidRPr="00053754">
              <w:rPr>
                <w:webHidden/>
              </w:rPr>
              <w:fldChar w:fldCharType="begin"/>
            </w:r>
            <w:r w:rsidR="009D6532" w:rsidRPr="00053754">
              <w:rPr>
                <w:webHidden/>
              </w:rPr>
              <w:instrText xml:space="preserve"> PAGEREF _Toc116997201 \h </w:instrText>
            </w:r>
            <w:r w:rsidR="009D6532" w:rsidRPr="00053754">
              <w:rPr>
                <w:webHidden/>
              </w:rPr>
            </w:r>
            <w:r w:rsidR="009D6532" w:rsidRPr="00053754">
              <w:rPr>
                <w:webHidden/>
              </w:rPr>
              <w:fldChar w:fldCharType="separate"/>
            </w:r>
            <w:r w:rsidR="00421855">
              <w:rPr>
                <w:webHidden/>
              </w:rPr>
              <w:t>13</w:t>
            </w:r>
            <w:r w:rsidR="009D6532" w:rsidRPr="00053754">
              <w:rPr>
                <w:webHidden/>
              </w:rPr>
              <w:fldChar w:fldCharType="end"/>
            </w:r>
          </w:hyperlink>
        </w:p>
        <w:p w14:paraId="0B3F0120" w14:textId="77777777" w:rsidR="00AD360A" w:rsidRDefault="00AD360A">
          <w:r>
            <w:rPr>
              <w:b/>
              <w:bCs/>
            </w:rPr>
            <w:fldChar w:fldCharType="end"/>
          </w:r>
        </w:p>
      </w:sdtContent>
    </w:sdt>
    <w:p w14:paraId="0B1AD19D" w14:textId="77777777" w:rsidR="00A075F9" w:rsidRDefault="00A075F9" w:rsidP="008E7485">
      <w:pPr>
        <w:jc w:val="center"/>
        <w:rPr>
          <w:sz w:val="32"/>
          <w:szCs w:val="32"/>
        </w:rPr>
      </w:pPr>
    </w:p>
    <w:p w14:paraId="1EE8353A" w14:textId="77777777" w:rsidR="00AD360A" w:rsidRDefault="00AD360A" w:rsidP="008E7485">
      <w:pPr>
        <w:jc w:val="center"/>
        <w:rPr>
          <w:sz w:val="32"/>
          <w:szCs w:val="32"/>
        </w:rPr>
      </w:pPr>
    </w:p>
    <w:p w14:paraId="4D4EA698" w14:textId="77777777" w:rsidR="00AD360A" w:rsidRPr="00B726C0" w:rsidRDefault="00AD360A" w:rsidP="008E7485">
      <w:pPr>
        <w:jc w:val="center"/>
        <w:rPr>
          <w:sz w:val="32"/>
          <w:szCs w:val="32"/>
        </w:rPr>
      </w:pPr>
    </w:p>
    <w:p w14:paraId="5D59FBB8" w14:textId="77777777" w:rsidR="00A25F15" w:rsidRPr="00B726C0" w:rsidRDefault="00A25F15" w:rsidP="000E2FBA">
      <w:pPr>
        <w:pStyle w:val="Odlomakpopisa"/>
        <w:spacing w:line="240" w:lineRule="auto"/>
        <w:ind w:left="714"/>
        <w:contextualSpacing w:val="0"/>
        <w:rPr>
          <w:sz w:val="28"/>
          <w:szCs w:val="28"/>
        </w:rPr>
      </w:pPr>
    </w:p>
    <w:p w14:paraId="601AAE43" w14:textId="54CB84F8" w:rsidR="00A25F15" w:rsidRDefault="00A25F15" w:rsidP="00A25F15">
      <w:pPr>
        <w:spacing w:line="240" w:lineRule="auto"/>
        <w:rPr>
          <w:sz w:val="28"/>
          <w:szCs w:val="28"/>
        </w:rPr>
      </w:pPr>
    </w:p>
    <w:p w14:paraId="1EB8F52A" w14:textId="77777777" w:rsidR="00C45C01" w:rsidRPr="00B726C0" w:rsidRDefault="00C45C01" w:rsidP="00A25F15">
      <w:pPr>
        <w:spacing w:line="240" w:lineRule="auto"/>
        <w:rPr>
          <w:sz w:val="28"/>
          <w:szCs w:val="28"/>
        </w:rPr>
      </w:pPr>
    </w:p>
    <w:p w14:paraId="7A9C3A2C" w14:textId="77777777" w:rsidR="00A25F15" w:rsidRPr="00B726C0" w:rsidRDefault="00A25F15" w:rsidP="00A25F15">
      <w:pPr>
        <w:pStyle w:val="Odlomakpopisa"/>
        <w:spacing w:line="240" w:lineRule="auto"/>
        <w:ind w:left="1440"/>
        <w:rPr>
          <w:sz w:val="28"/>
          <w:szCs w:val="28"/>
        </w:rPr>
      </w:pPr>
    </w:p>
    <w:p w14:paraId="56709129" w14:textId="77777777" w:rsidR="00A25F15" w:rsidRPr="00B726C0" w:rsidRDefault="00A25F15" w:rsidP="00A25F15">
      <w:pPr>
        <w:pStyle w:val="Odlomakpopisa"/>
        <w:spacing w:line="240" w:lineRule="auto"/>
        <w:ind w:left="1440"/>
        <w:rPr>
          <w:sz w:val="28"/>
          <w:szCs w:val="28"/>
        </w:rPr>
      </w:pPr>
    </w:p>
    <w:p w14:paraId="377DB061" w14:textId="77777777" w:rsidR="00212412" w:rsidRPr="00B726C0" w:rsidRDefault="00212412" w:rsidP="00212412">
      <w:pPr>
        <w:pStyle w:val="Odlomakpopisa"/>
        <w:spacing w:line="240" w:lineRule="auto"/>
        <w:ind w:left="1440"/>
        <w:rPr>
          <w:sz w:val="28"/>
          <w:szCs w:val="28"/>
        </w:rPr>
      </w:pPr>
    </w:p>
    <w:p w14:paraId="6BE454F3" w14:textId="77777777" w:rsidR="00DE06E2" w:rsidRDefault="00DE06E2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319BD4B5" w14:textId="77777777" w:rsidR="00826F9D" w:rsidRDefault="00826F9D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423BE2EB" w14:textId="77777777" w:rsidR="00826F9D" w:rsidRDefault="00826F9D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0E7D2FEF" w14:textId="77777777" w:rsidR="00826F9D" w:rsidRDefault="00826F9D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73A4A023" w14:textId="77777777" w:rsidR="00826F9D" w:rsidRDefault="00826F9D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0DA06763" w14:textId="77777777" w:rsidR="00751D11" w:rsidRDefault="00751D11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5DAB006D" w14:textId="77777777" w:rsidR="00751D11" w:rsidRDefault="00751D11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043C5009" w14:textId="77777777" w:rsidR="00751D11" w:rsidRDefault="00751D11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18D7151B" w14:textId="77777777" w:rsidR="00826F9D" w:rsidRDefault="00826F9D" w:rsidP="00DE06E2">
      <w:pPr>
        <w:pStyle w:val="Odlomakpopisa"/>
        <w:spacing w:line="240" w:lineRule="auto"/>
        <w:contextualSpacing w:val="0"/>
        <w:rPr>
          <w:color w:val="2F5496" w:themeColor="accent1" w:themeShade="BF"/>
          <w:sz w:val="28"/>
          <w:szCs w:val="28"/>
        </w:rPr>
      </w:pPr>
    </w:p>
    <w:p w14:paraId="0E516A41" w14:textId="77777777" w:rsidR="00DE06E2" w:rsidRPr="00850186" w:rsidRDefault="00B726C0" w:rsidP="0045544C">
      <w:pPr>
        <w:pStyle w:val="Naslov1"/>
        <w:numPr>
          <w:ilvl w:val="0"/>
          <w:numId w:val="29"/>
        </w:numPr>
        <w:pBdr>
          <w:top w:val="double" w:sz="4" w:space="1" w:color="auto"/>
          <w:bottom w:val="double" w:sz="4" w:space="1" w:color="auto"/>
        </w:pBdr>
        <w:shd w:val="clear" w:color="auto" w:fill="D5DCE4" w:themeFill="text2" w:themeFillTint="33"/>
        <w:ind w:left="357" w:hanging="357"/>
      </w:pPr>
      <w:bookmarkStart w:id="0" w:name="_Toc116997198"/>
      <w:r w:rsidRPr="000E2FBA">
        <w:lastRenderedPageBreak/>
        <w:t>OPĆI DIO</w:t>
      </w:r>
      <w:bookmarkEnd w:id="0"/>
    </w:p>
    <w:tbl>
      <w:tblPr>
        <w:tblW w:w="9380" w:type="dxa"/>
        <w:tblLook w:val="04A0" w:firstRow="1" w:lastRow="0" w:firstColumn="1" w:lastColumn="0" w:noHBand="0" w:noVBand="1"/>
      </w:tblPr>
      <w:tblGrid>
        <w:gridCol w:w="3140"/>
        <w:gridCol w:w="1940"/>
        <w:gridCol w:w="2000"/>
        <w:gridCol w:w="2300"/>
      </w:tblGrid>
      <w:tr w:rsidR="008A5037" w:rsidRPr="008A5037" w14:paraId="114638BC" w14:textId="77777777" w:rsidTr="008A5037">
        <w:trPr>
          <w:trHeight w:val="315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B9F0" w14:textId="77777777" w:rsid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B22CE03" w14:textId="6035F0E0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8A5037" w:rsidRPr="008A5037" w14:paraId="54F3211D" w14:textId="77777777" w:rsidTr="008A503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5080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0DED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0541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96562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A5037" w:rsidRPr="008A5037" w14:paraId="514A0D8D" w14:textId="77777777" w:rsidTr="008A5037">
        <w:trPr>
          <w:trHeight w:val="330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3E70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8A5037" w:rsidRPr="008A5037" w14:paraId="17BA87BF" w14:textId="77777777" w:rsidTr="008A5037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6C346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E213B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DB53D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ED912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A5037" w:rsidRPr="008A5037" w14:paraId="587FFF45" w14:textId="77777777" w:rsidTr="008A5037">
        <w:trPr>
          <w:trHeight w:val="450"/>
        </w:trPr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55C5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546ED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2025.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EBC34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 / smanjenje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6E305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</w:t>
            </w:r>
          </w:p>
        </w:tc>
      </w:tr>
      <w:tr w:rsidR="008A5037" w:rsidRPr="008A5037" w14:paraId="35AA1E3E" w14:textId="77777777" w:rsidTr="008A5037">
        <w:trPr>
          <w:trHeight w:val="450"/>
        </w:trPr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0ECB5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5B226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01FD7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25240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8A5037" w:rsidRPr="008A5037" w14:paraId="2E30EE52" w14:textId="77777777" w:rsidTr="008A5037">
        <w:trPr>
          <w:trHeight w:val="22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704D1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0AD07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ABCFC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0E86A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8A5037" w:rsidRPr="008A5037" w14:paraId="07FB80E9" w14:textId="77777777" w:rsidTr="008A5037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338207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0FE6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BDBB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10.574.710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53E1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239.774.798</w:t>
            </w:r>
          </w:p>
        </w:tc>
      </w:tr>
      <w:tr w:rsidR="008A5037" w:rsidRPr="008A5037" w14:paraId="414DE94B" w14:textId="77777777" w:rsidTr="008A5037">
        <w:trPr>
          <w:trHeight w:val="4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8D25E6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DC81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3141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35.650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7622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36.418</w:t>
            </w:r>
          </w:p>
        </w:tc>
      </w:tr>
      <w:tr w:rsidR="008A5037" w:rsidRPr="008A5037" w14:paraId="27693C07" w14:textId="77777777" w:rsidTr="008A5037">
        <w:trPr>
          <w:trHeight w:val="43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5DCE4"/>
            <w:vAlign w:val="center"/>
            <w:hideMark/>
          </w:tcPr>
          <w:p w14:paraId="64FBAE26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UKUPNO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654C1B8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C98887D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10.610.360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2B8D251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239.811.216</w:t>
            </w:r>
          </w:p>
        </w:tc>
      </w:tr>
      <w:tr w:rsidR="008A5037" w:rsidRPr="008A5037" w14:paraId="7275AAFD" w14:textId="77777777" w:rsidTr="008A5037">
        <w:trPr>
          <w:trHeight w:val="281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0A0C7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 POSLOVANJA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A9AA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221.385.891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C183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8.881.390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5A7DE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230.267.281</w:t>
            </w:r>
          </w:p>
        </w:tc>
      </w:tr>
      <w:tr w:rsidR="008A5037" w:rsidRPr="008A5037" w14:paraId="6D0D3B02" w14:textId="77777777" w:rsidTr="008A5037">
        <w:trPr>
          <w:trHeight w:val="63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2DA6B8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AF99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7.814.965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3063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3.263.710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1B76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11.078.675</w:t>
            </w:r>
          </w:p>
        </w:tc>
      </w:tr>
      <w:tr w:rsidR="008A5037" w:rsidRPr="008A5037" w14:paraId="5F5B89D5" w14:textId="77777777" w:rsidTr="008A5037">
        <w:trPr>
          <w:trHeight w:val="16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5DCE4"/>
            <w:vAlign w:val="center"/>
            <w:hideMark/>
          </w:tcPr>
          <w:p w14:paraId="2F9D9DF6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UKUPNO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CC1AA7A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3CB5E86E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12.145.100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9A2A332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241.345.956</w:t>
            </w:r>
          </w:p>
        </w:tc>
      </w:tr>
      <w:tr w:rsidR="008A5037" w:rsidRPr="008A5037" w14:paraId="52420C63" w14:textId="77777777" w:rsidTr="008A5037">
        <w:trPr>
          <w:trHeight w:val="31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5DCE4"/>
            <w:vAlign w:val="center"/>
            <w:hideMark/>
          </w:tcPr>
          <w:p w14:paraId="55C393F5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RAZLIKA - VIŠAK / MANJAK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B100734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0F130A1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-1.534.740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FE3690D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-1.534.740</w:t>
            </w:r>
          </w:p>
        </w:tc>
      </w:tr>
      <w:tr w:rsidR="008A5037" w:rsidRPr="008A5037" w14:paraId="7750BF30" w14:textId="77777777" w:rsidTr="008A503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204C3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7BAA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05E4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F391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A5037" w:rsidRPr="008A5037" w14:paraId="3DE500D8" w14:textId="77777777" w:rsidTr="008A5037">
        <w:trPr>
          <w:trHeight w:val="315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9982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8A5037" w:rsidRPr="008A5037" w14:paraId="2ECB6DAC" w14:textId="77777777" w:rsidTr="008A5037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389C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7FDA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BD76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4DF5" w14:textId="77777777" w:rsidR="008A5037" w:rsidRPr="008A5037" w:rsidRDefault="008A5037" w:rsidP="008A5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A5037" w:rsidRPr="008A5037" w14:paraId="5BA2ED26" w14:textId="77777777" w:rsidTr="008A5037">
        <w:trPr>
          <w:trHeight w:val="450"/>
        </w:trPr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25C4" w14:textId="77777777" w:rsidR="008A5037" w:rsidRPr="008A5037" w:rsidRDefault="008A5037" w:rsidP="008A5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50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4B893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2025.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9E095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 / smanjenje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96D4C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</w:t>
            </w:r>
          </w:p>
        </w:tc>
      </w:tr>
      <w:tr w:rsidR="008A5037" w:rsidRPr="008A5037" w14:paraId="6ECC221E" w14:textId="77777777" w:rsidTr="008A5037">
        <w:trPr>
          <w:trHeight w:val="450"/>
        </w:trPr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0C444" w14:textId="77777777" w:rsidR="008A5037" w:rsidRPr="008A5037" w:rsidRDefault="008A5037" w:rsidP="008A50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6290A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13148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C9065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8A5037" w:rsidRPr="008A5037" w14:paraId="730AC1DD" w14:textId="77777777" w:rsidTr="008A5037">
        <w:trPr>
          <w:trHeight w:val="173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5D847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6ED8B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A77E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D56E1" w14:textId="77777777" w:rsidR="008A5037" w:rsidRPr="008A5037" w:rsidRDefault="008A5037" w:rsidP="008A5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8A5037" w:rsidRPr="008A5037" w14:paraId="29DFB73D" w14:textId="77777777" w:rsidTr="008A5037">
        <w:trPr>
          <w:trHeight w:val="51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C2A1A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1A2A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7455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A7C3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8A5037" w:rsidRPr="008A5037" w14:paraId="38B3DD23" w14:textId="77777777" w:rsidTr="008A5037">
        <w:trPr>
          <w:trHeight w:val="52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55902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5DE5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EE8F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D204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8A5037" w:rsidRPr="008A5037" w14:paraId="40845AAD" w14:textId="77777777" w:rsidTr="008A5037">
        <w:trPr>
          <w:trHeight w:val="53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3760F4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PRIJENOS SREDSTAVA IZ PRETHODNE GODINE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8F574B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92.906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14AC3D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1.534.740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091C1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1.627.646</w:t>
            </w:r>
          </w:p>
        </w:tc>
      </w:tr>
      <w:tr w:rsidR="008A5037" w:rsidRPr="008A5037" w14:paraId="50D0E335" w14:textId="77777777" w:rsidTr="008A5037">
        <w:trPr>
          <w:trHeight w:val="39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77637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PRIJENOS SREDSTAVA U SLJEDEĆU GODINU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9EEDE1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-92.906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1898AC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5C058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-92.906</w:t>
            </w:r>
          </w:p>
        </w:tc>
      </w:tr>
      <w:tr w:rsidR="008A5037" w:rsidRPr="008A5037" w14:paraId="05C5E973" w14:textId="77777777" w:rsidTr="008A5037">
        <w:trPr>
          <w:trHeight w:val="27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5DCE4"/>
            <w:vAlign w:val="center"/>
            <w:hideMark/>
          </w:tcPr>
          <w:p w14:paraId="78A9502D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NETO FINANCIRANJE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275CC15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C22ED50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2F6EBED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8A5037" w:rsidRPr="008A5037" w14:paraId="4B343523" w14:textId="77777777" w:rsidTr="008A5037">
        <w:trPr>
          <w:trHeight w:val="25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9881E" w14:textId="77777777" w:rsidR="008A5037" w:rsidRPr="008A5037" w:rsidRDefault="008A5037" w:rsidP="008A5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VIŠAK / MANJAK + NETO FINANCIRANJE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7A83C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EE9E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2805" w14:textId="77777777" w:rsidR="008A5037" w:rsidRPr="008A5037" w:rsidRDefault="008A5037" w:rsidP="008A5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A503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22E757C9" w14:textId="77777777" w:rsidR="00DE06E2" w:rsidRDefault="00DE06E2" w:rsidP="00DE06E2">
      <w:pPr>
        <w:spacing w:line="240" w:lineRule="auto"/>
        <w:rPr>
          <w:color w:val="2F5496" w:themeColor="accent1" w:themeShade="BF"/>
          <w:sz w:val="28"/>
          <w:szCs w:val="28"/>
        </w:rPr>
      </w:pPr>
    </w:p>
    <w:p w14:paraId="201F8DCB" w14:textId="61E8E56D" w:rsidR="00EC5268" w:rsidRDefault="00EC5268" w:rsidP="00DE06E2">
      <w:pPr>
        <w:spacing w:line="240" w:lineRule="auto"/>
        <w:rPr>
          <w:color w:val="2F5496" w:themeColor="accent1" w:themeShade="BF"/>
          <w:sz w:val="28"/>
          <w:szCs w:val="28"/>
        </w:rPr>
      </w:pPr>
    </w:p>
    <w:p w14:paraId="3EB675A0" w14:textId="71732C5E" w:rsidR="003559D1" w:rsidRDefault="003559D1" w:rsidP="00DE06E2">
      <w:pPr>
        <w:spacing w:line="240" w:lineRule="auto"/>
        <w:rPr>
          <w:color w:val="2F5496" w:themeColor="accent1" w:themeShade="BF"/>
          <w:sz w:val="28"/>
          <w:szCs w:val="28"/>
        </w:rPr>
      </w:pPr>
    </w:p>
    <w:p w14:paraId="6A7A00BE" w14:textId="657B56C2" w:rsidR="00CC580F" w:rsidRDefault="00CC580F" w:rsidP="00DE06E2">
      <w:pPr>
        <w:spacing w:line="240" w:lineRule="auto"/>
        <w:rPr>
          <w:color w:val="2F5496" w:themeColor="accent1" w:themeShade="BF"/>
          <w:sz w:val="28"/>
          <w:szCs w:val="28"/>
        </w:rPr>
      </w:pPr>
    </w:p>
    <w:p w14:paraId="47BC333B" w14:textId="77777777" w:rsidR="00CC580F" w:rsidRDefault="00CC580F" w:rsidP="00DE06E2">
      <w:pPr>
        <w:spacing w:line="240" w:lineRule="auto"/>
        <w:rPr>
          <w:color w:val="2F5496" w:themeColor="accent1" w:themeShade="BF"/>
          <w:sz w:val="28"/>
          <w:szCs w:val="28"/>
        </w:rPr>
      </w:pPr>
    </w:p>
    <w:p w14:paraId="758F5B11" w14:textId="77777777" w:rsidR="00EC5268" w:rsidRDefault="00EC5268" w:rsidP="00DE06E2">
      <w:pPr>
        <w:spacing w:line="240" w:lineRule="auto"/>
        <w:rPr>
          <w:color w:val="2F5496" w:themeColor="accent1" w:themeShade="BF"/>
          <w:sz w:val="28"/>
          <w:szCs w:val="28"/>
        </w:rPr>
      </w:pPr>
    </w:p>
    <w:p w14:paraId="17A58F78" w14:textId="77777777" w:rsidR="0095537D" w:rsidRDefault="0095537D" w:rsidP="00DE06E2">
      <w:pPr>
        <w:spacing w:line="240" w:lineRule="auto"/>
        <w:rPr>
          <w:color w:val="2F5496" w:themeColor="accent1" w:themeShade="BF"/>
          <w:sz w:val="28"/>
          <w:szCs w:val="28"/>
        </w:rPr>
      </w:pP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959"/>
        <w:gridCol w:w="877"/>
        <w:gridCol w:w="82"/>
        <w:gridCol w:w="720"/>
        <w:gridCol w:w="149"/>
        <w:gridCol w:w="2396"/>
        <w:gridCol w:w="53"/>
        <w:gridCol w:w="1360"/>
        <w:gridCol w:w="220"/>
        <w:gridCol w:w="1200"/>
        <w:gridCol w:w="254"/>
        <w:gridCol w:w="1246"/>
        <w:gridCol w:w="464"/>
      </w:tblGrid>
      <w:tr w:rsidR="00CC580F" w:rsidRPr="00CC580F" w14:paraId="59106BB4" w14:textId="77777777" w:rsidTr="00CC580F">
        <w:trPr>
          <w:trHeight w:val="315"/>
          <w:jc w:val="center"/>
        </w:trPr>
        <w:tc>
          <w:tcPr>
            <w:tcW w:w="9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E6C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CC580F" w:rsidRPr="00CC580F" w14:paraId="3D68B46F" w14:textId="77777777" w:rsidTr="00CC580F">
        <w:trPr>
          <w:trHeight w:val="630"/>
          <w:jc w:val="center"/>
        </w:trPr>
        <w:tc>
          <w:tcPr>
            <w:tcW w:w="9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B1F9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A1. PRIHODI POSLOVANJA I PRIHODI OD PRODAJE NEFINANCIJSKE IMOVINE</w:t>
            </w:r>
          </w:p>
        </w:tc>
      </w:tr>
      <w:tr w:rsidR="00CC580F" w:rsidRPr="00CC580F" w14:paraId="0AB6F796" w14:textId="77777777" w:rsidTr="004B055E">
        <w:trPr>
          <w:trHeight w:val="315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DD7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0196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ABF0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0E4DE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C17C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8BAA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C106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580F" w:rsidRPr="00CC580F" w14:paraId="1AEE3139" w14:textId="77777777" w:rsidTr="004B055E">
        <w:trPr>
          <w:trHeight w:val="476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844DC9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4CFF91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9944FA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9BFD6F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6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FA7794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2025.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6E4A32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 / smanjenje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C552EB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</w:t>
            </w:r>
          </w:p>
        </w:tc>
      </w:tr>
      <w:tr w:rsidR="00CC580F" w:rsidRPr="00CC580F" w14:paraId="4C5F0E2F" w14:textId="77777777" w:rsidTr="004B055E">
        <w:trPr>
          <w:trHeight w:val="19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0C3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19F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4D23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8E5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203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7C3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D1F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CC580F" w:rsidRPr="00CC580F" w14:paraId="409E2270" w14:textId="77777777" w:rsidTr="004B055E">
        <w:trPr>
          <w:trHeight w:val="6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0062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E14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75C3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8F0A9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PRIHODI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55EF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229.200.856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B57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10.610.360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907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239.811.216</w:t>
            </w:r>
          </w:p>
        </w:tc>
      </w:tr>
      <w:tr w:rsidR="00CC580F" w:rsidRPr="00CC580F" w14:paraId="27290F52" w14:textId="77777777" w:rsidTr="004B055E">
        <w:trPr>
          <w:trHeight w:val="153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BEA2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3586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326A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EE08F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9AC8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229.200.088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BD9E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10.605.960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37B9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239.806.048</w:t>
            </w:r>
          </w:p>
        </w:tc>
      </w:tr>
      <w:tr w:rsidR="00CC580F" w:rsidRPr="00CC580F" w14:paraId="29959F04" w14:textId="77777777" w:rsidTr="004B055E">
        <w:trPr>
          <w:trHeight w:val="526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D90D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B1A1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5D4C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0B514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F919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318.836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01E3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1.361.399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4538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1.680.235</w:t>
            </w:r>
          </w:p>
        </w:tc>
      </w:tr>
      <w:tr w:rsidR="00CC580F" w:rsidRPr="00CC580F" w14:paraId="055C1DFB" w14:textId="77777777" w:rsidTr="004B055E">
        <w:trPr>
          <w:trHeight w:val="26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213A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9A8A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734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B2562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6227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318.836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8DB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1.361.399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E5E1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1.680.235</w:t>
            </w:r>
          </w:p>
        </w:tc>
      </w:tr>
      <w:tr w:rsidR="00CC580F" w:rsidRPr="00CC580F" w14:paraId="1709D11D" w14:textId="77777777" w:rsidTr="004B055E">
        <w:trPr>
          <w:trHeight w:val="123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6CB3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E330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862A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0CC5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A27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1218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FBBF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CC580F" w:rsidRPr="00CC580F" w14:paraId="2A0AC788" w14:textId="77777777" w:rsidTr="004B055E">
        <w:trPr>
          <w:trHeight w:val="9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00B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0CC7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FE20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F9569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3E00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6EC6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D0B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</w:t>
            </w:r>
          </w:p>
        </w:tc>
      </w:tr>
      <w:tr w:rsidR="00CC580F" w:rsidRPr="00CC580F" w14:paraId="25C5E78D" w14:textId="77777777" w:rsidTr="004B055E">
        <w:trPr>
          <w:trHeight w:val="68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6CD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7C6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3E7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BBDF7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378E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12.868.000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3384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444.350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1B76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13.312.350</w:t>
            </w:r>
          </w:p>
        </w:tc>
      </w:tr>
      <w:tr w:rsidR="00CC580F" w:rsidRPr="00CC580F" w14:paraId="32211515" w14:textId="77777777" w:rsidTr="004B055E">
        <w:trPr>
          <w:trHeight w:val="6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0CCB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B313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B306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556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4370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12.868.000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069D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413.100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7FAE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13.281.100</w:t>
            </w:r>
          </w:p>
        </w:tc>
      </w:tr>
      <w:tr w:rsidR="00CC580F" w:rsidRPr="00CC580F" w14:paraId="468CCB8F" w14:textId="77777777" w:rsidTr="004B055E">
        <w:trPr>
          <w:trHeight w:val="6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2A41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CE70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8FDD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F27AE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1FA6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F2F9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31.250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23B6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31.250</w:t>
            </w:r>
          </w:p>
        </w:tc>
      </w:tr>
      <w:tr w:rsidR="00CC580F" w:rsidRPr="00CC580F" w14:paraId="4B3DAA97" w14:textId="77777777" w:rsidTr="004B055E">
        <w:trPr>
          <w:trHeight w:val="875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A063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C461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9B45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8ABEC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Prihodi od prodaje proizvoda i robe te pruženih usluga i prihodi od donacija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864A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2.172.000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A7EC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1.337.767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DD0B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3.509.767</w:t>
            </w:r>
          </w:p>
        </w:tc>
      </w:tr>
      <w:tr w:rsidR="00CC580F" w:rsidRPr="00CC580F" w14:paraId="20AFC73F" w14:textId="77777777" w:rsidTr="004B055E">
        <w:trPr>
          <w:trHeight w:val="197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64B1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B318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709A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9A203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900D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2.138.000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0BD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1.105.267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9B34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3.243.267</w:t>
            </w:r>
          </w:p>
        </w:tc>
      </w:tr>
      <w:tr w:rsidR="00CC580F" w:rsidRPr="00CC580F" w14:paraId="6941E093" w14:textId="77777777" w:rsidTr="004B055E">
        <w:trPr>
          <w:trHeight w:val="6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B798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302D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1E70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8ABFF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B0EC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34.000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E56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232.500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38D5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266.500</w:t>
            </w:r>
          </w:p>
        </w:tc>
      </w:tr>
      <w:tr w:rsidR="00CC580F" w:rsidRPr="00CC580F" w14:paraId="7E96098B" w14:textId="77777777" w:rsidTr="004B055E">
        <w:trPr>
          <w:trHeight w:val="855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15A6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68DB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67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887D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F35F0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5304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213.701.251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B40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7.570.444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9DB1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221.271.695</w:t>
            </w:r>
          </w:p>
        </w:tc>
      </w:tr>
      <w:tr w:rsidR="00CC580F" w:rsidRPr="00CC580F" w14:paraId="4EE7308B" w14:textId="77777777" w:rsidTr="004B055E">
        <w:trPr>
          <w:trHeight w:val="247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908B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F370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FFC3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C761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A561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11.213.318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4DFF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-620.239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97A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10.593.079</w:t>
            </w:r>
          </w:p>
        </w:tc>
      </w:tr>
      <w:tr w:rsidR="00CC580F" w:rsidRPr="00CC580F" w14:paraId="221105AF" w14:textId="77777777" w:rsidTr="004B055E">
        <w:trPr>
          <w:trHeight w:val="236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31F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FB90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A3BC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3187B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EF77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202.224.681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8160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7.764.175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0D75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209.988.856</w:t>
            </w:r>
          </w:p>
        </w:tc>
      </w:tr>
      <w:tr w:rsidR="00CC580F" w:rsidRPr="00CC580F" w14:paraId="3A127980" w14:textId="77777777" w:rsidTr="004B055E">
        <w:trPr>
          <w:trHeight w:val="3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3DA7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396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22A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EDB4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Mehanizam za oporavak i otpornost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037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263.252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07D1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426.508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BB02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689.760</w:t>
            </w:r>
          </w:p>
        </w:tc>
      </w:tr>
      <w:tr w:rsidR="00CC580F" w:rsidRPr="00CC580F" w14:paraId="6096FCE2" w14:textId="77777777" w:rsidTr="004B055E">
        <w:trPr>
          <w:trHeight w:val="364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C047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3D7F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FCD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EC970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79A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140.000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286D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-108.000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C9BE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32.000</w:t>
            </w:r>
          </w:p>
        </w:tc>
      </w:tr>
      <w:tr w:rsidR="00CC580F" w:rsidRPr="00CC580F" w14:paraId="0FF2720E" w14:textId="77777777" w:rsidTr="004B055E">
        <w:trPr>
          <w:trHeight w:val="273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05AD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ADEA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C64A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B55A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32C8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140.000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F903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-108.000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CFDD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32.000</w:t>
            </w:r>
          </w:p>
        </w:tc>
      </w:tr>
      <w:tr w:rsidR="00CC580F" w:rsidRPr="00CC580F" w14:paraId="26BCC610" w14:textId="77777777" w:rsidTr="004B055E">
        <w:trPr>
          <w:trHeight w:val="336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E33D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888A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ECFE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9851D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480F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CFA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4.400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56C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5.168</w:t>
            </w:r>
          </w:p>
        </w:tc>
      </w:tr>
      <w:tr w:rsidR="00CC580F" w:rsidRPr="00CC580F" w14:paraId="1656ABE0" w14:textId="77777777" w:rsidTr="004B055E">
        <w:trPr>
          <w:trHeight w:val="839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7242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221C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72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627E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4CE1C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3ED2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768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EAB7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4.400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5D9F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5.168</w:t>
            </w:r>
          </w:p>
        </w:tc>
      </w:tr>
      <w:tr w:rsidR="00CC580F" w:rsidRPr="00CC580F" w14:paraId="219DC9CC" w14:textId="77777777" w:rsidTr="004B055E">
        <w:trPr>
          <w:trHeight w:val="12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C622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D56D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9618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04A59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0EFE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768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14EC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4.400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7456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5.168</w:t>
            </w:r>
          </w:p>
        </w:tc>
      </w:tr>
      <w:tr w:rsidR="00CC580F" w:rsidRPr="00CC580F" w14:paraId="64B65A7E" w14:textId="77777777" w:rsidTr="004B055E">
        <w:tblPrEx>
          <w:jc w:val="left"/>
        </w:tblPrEx>
        <w:trPr>
          <w:gridAfter w:val="1"/>
          <w:wAfter w:w="464" w:type="dxa"/>
          <w:trHeight w:val="630"/>
        </w:trPr>
        <w:tc>
          <w:tcPr>
            <w:tcW w:w="95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483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A. 2. RASHODI POSLOVANJA I RASHODI ZA NABAVU NEFINANCIJSKE IMOVINE</w:t>
            </w:r>
          </w:p>
        </w:tc>
      </w:tr>
      <w:tr w:rsidR="00CC580F" w:rsidRPr="00CC580F" w14:paraId="66407B4D" w14:textId="77777777" w:rsidTr="004B055E">
        <w:tblPrEx>
          <w:jc w:val="left"/>
        </w:tblPrEx>
        <w:trPr>
          <w:gridAfter w:val="1"/>
          <w:wAfter w:w="464" w:type="dxa"/>
          <w:trHeight w:val="3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A7EE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F3D6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12E3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76681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44D1C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F1AE4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7000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580F" w:rsidRPr="00CC580F" w14:paraId="32940810" w14:textId="77777777" w:rsidTr="004B055E">
        <w:tblPrEx>
          <w:jc w:val="left"/>
        </w:tblPrEx>
        <w:trPr>
          <w:gridAfter w:val="1"/>
          <w:wAfter w:w="464" w:type="dxa"/>
          <w:trHeight w:val="82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2C727D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3D5142E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1801D7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25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AF722A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5F8C14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2025.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31B702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 / smanjenje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0EAA33D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</w:t>
            </w:r>
          </w:p>
        </w:tc>
      </w:tr>
      <w:tr w:rsidR="00CC580F" w:rsidRPr="00CC580F" w14:paraId="5079C4B1" w14:textId="77777777" w:rsidTr="004B055E">
        <w:tblPrEx>
          <w:jc w:val="left"/>
        </w:tblPrEx>
        <w:trPr>
          <w:gridAfter w:val="1"/>
          <w:wAfter w:w="464" w:type="dxa"/>
          <w:trHeight w:val="6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2DC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7B8B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E50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2A7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DB4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BD0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041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CC580F" w:rsidRPr="00CC580F" w14:paraId="59EEAFBD" w14:textId="77777777" w:rsidTr="004B055E">
        <w:tblPrEx>
          <w:jc w:val="left"/>
        </w:tblPrEx>
        <w:trPr>
          <w:gridAfter w:val="1"/>
          <w:wAfter w:w="464" w:type="dxa"/>
          <w:trHeight w:val="3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881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2F9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D8B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0CFA9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49A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229.200.856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6766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12.145.100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E6E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241.345.956</w:t>
            </w:r>
          </w:p>
        </w:tc>
      </w:tr>
      <w:tr w:rsidR="00CC580F" w:rsidRPr="00CC580F" w14:paraId="68149386" w14:textId="77777777" w:rsidTr="004B055E">
        <w:tblPrEx>
          <w:jc w:val="left"/>
        </w:tblPrEx>
        <w:trPr>
          <w:gridAfter w:val="1"/>
          <w:wAfter w:w="464" w:type="dxa"/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8C99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B71B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63F9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34479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6B90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221.385.891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86E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8.881.390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7109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230.267.281</w:t>
            </w:r>
          </w:p>
        </w:tc>
      </w:tr>
      <w:tr w:rsidR="00CC580F" w:rsidRPr="00CC580F" w14:paraId="57758C22" w14:textId="77777777" w:rsidTr="004B055E">
        <w:tblPrEx>
          <w:jc w:val="left"/>
        </w:tblPrEx>
        <w:trPr>
          <w:gridAfter w:val="1"/>
          <w:wAfter w:w="464" w:type="dxa"/>
          <w:trHeight w:val="11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C62A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0AA5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4463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782A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B269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126.332.877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543D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3.087.880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8F4D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129.420.757</w:t>
            </w:r>
          </w:p>
        </w:tc>
      </w:tr>
      <w:tr w:rsidR="00CC580F" w:rsidRPr="00CC580F" w14:paraId="353B7E95" w14:textId="77777777" w:rsidTr="004B055E">
        <w:tblPrEx>
          <w:jc w:val="left"/>
        </w:tblPrEx>
        <w:trPr>
          <w:gridAfter w:val="1"/>
          <w:wAfter w:w="464" w:type="dxa"/>
          <w:trHeight w:val="2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DDEC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742E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E082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C75E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9484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506.034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596B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38.000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DD2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544.034</w:t>
            </w:r>
          </w:p>
        </w:tc>
      </w:tr>
      <w:tr w:rsidR="00CC580F" w:rsidRPr="00CC580F" w14:paraId="15E64298" w14:textId="77777777" w:rsidTr="004B055E">
        <w:tblPrEx>
          <w:jc w:val="left"/>
        </w:tblPrEx>
        <w:trPr>
          <w:gridAfter w:val="1"/>
          <w:wAfter w:w="464" w:type="dxa"/>
          <w:trHeight w:val="38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EA6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535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0409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AA57D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B94F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125.746.601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D7D9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2.822.638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47B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128.569.239</w:t>
            </w:r>
          </w:p>
        </w:tc>
      </w:tr>
      <w:tr w:rsidR="00CC580F" w:rsidRPr="00CC580F" w14:paraId="0D4B3CCA" w14:textId="77777777" w:rsidTr="004B055E">
        <w:tblPrEx>
          <w:jc w:val="left"/>
        </w:tblPrEx>
        <w:trPr>
          <w:gridAfter w:val="1"/>
          <w:wAfter w:w="464" w:type="dxa"/>
          <w:trHeight w:val="14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58D4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77E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A42C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52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05596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0230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80.242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D6F1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89.497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404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169.739</w:t>
            </w:r>
          </w:p>
        </w:tc>
      </w:tr>
      <w:tr w:rsidR="00CC580F" w:rsidRPr="00CC580F" w14:paraId="652E1D39" w14:textId="77777777" w:rsidTr="004B055E">
        <w:tblPrEx>
          <w:jc w:val="left"/>
        </w:tblPrEx>
        <w:trPr>
          <w:gridAfter w:val="1"/>
          <w:wAfter w:w="464" w:type="dxa"/>
          <w:trHeight w:val="3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C60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5FB8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27D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581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8F724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Mehanizam za oporavak i otpornost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E003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F32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137.745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0043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137.745</w:t>
            </w:r>
          </w:p>
        </w:tc>
      </w:tr>
      <w:tr w:rsidR="00CC580F" w:rsidRPr="00CC580F" w14:paraId="68AEF5E6" w14:textId="77777777" w:rsidTr="004B055E">
        <w:tblPrEx>
          <w:jc w:val="left"/>
        </w:tblPrEx>
        <w:trPr>
          <w:gridAfter w:val="1"/>
          <w:wAfter w:w="464" w:type="dxa"/>
          <w:trHeight w:val="20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407D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DD82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99B6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C368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3DC8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94.974.456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F6BC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3.766.111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6712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98.740.567</w:t>
            </w:r>
          </w:p>
        </w:tc>
      </w:tr>
      <w:tr w:rsidR="00CC580F" w:rsidRPr="00CC580F" w14:paraId="45744B4F" w14:textId="77777777" w:rsidTr="004B055E">
        <w:tblPrEx>
          <w:jc w:val="left"/>
        </w:tblPrEx>
        <w:trPr>
          <w:gridAfter w:val="1"/>
          <w:wAfter w:w="464" w:type="dxa"/>
          <w:trHeight w:val="20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C5C8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5CCE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2A66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70AF2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BC8F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5.394.523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B0E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378F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5.494.523</w:t>
            </w:r>
          </w:p>
        </w:tc>
      </w:tr>
      <w:tr w:rsidR="00CC580F" w:rsidRPr="00CC580F" w14:paraId="40939F45" w14:textId="77777777" w:rsidTr="004B055E">
        <w:tblPrEx>
          <w:jc w:val="left"/>
        </w:tblPrEx>
        <w:trPr>
          <w:gridAfter w:val="1"/>
          <w:wAfter w:w="464" w:type="dxa"/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FCA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E5C2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2E51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B8CC8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49DF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124.114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CC6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-34.592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E7C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89.522</w:t>
            </w:r>
          </w:p>
        </w:tc>
      </w:tr>
      <w:tr w:rsidR="00CC580F" w:rsidRPr="00CC580F" w14:paraId="0BD15880" w14:textId="77777777" w:rsidTr="004B055E">
        <w:tblPrEx>
          <w:jc w:val="left"/>
        </w:tblPrEx>
        <w:trPr>
          <w:gridAfter w:val="1"/>
          <w:wAfter w:w="464" w:type="dxa"/>
          <w:trHeight w:val="28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1F0D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1024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0609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46B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B2D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89.412.677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BBD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3.547.358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6AF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92.960.035</w:t>
            </w:r>
          </w:p>
        </w:tc>
      </w:tr>
      <w:tr w:rsidR="00CC580F" w:rsidRPr="00CC580F" w14:paraId="22BD5AC6" w14:textId="77777777" w:rsidTr="004B055E">
        <w:tblPrEx>
          <w:jc w:val="left"/>
        </w:tblPrEx>
        <w:trPr>
          <w:gridAfter w:val="1"/>
          <w:wAfter w:w="464" w:type="dxa"/>
          <w:trHeight w:val="6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CDBC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81A6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931B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52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41217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DE7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33.142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3FA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22.291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03F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55.433</w:t>
            </w:r>
          </w:p>
        </w:tc>
      </w:tr>
      <w:tr w:rsidR="00CC580F" w:rsidRPr="00CC580F" w14:paraId="59796F45" w14:textId="77777777" w:rsidTr="004B055E">
        <w:tblPrEx>
          <w:jc w:val="left"/>
        </w:tblPrEx>
        <w:trPr>
          <w:gridAfter w:val="1"/>
          <w:wAfter w:w="464" w:type="dxa"/>
          <w:trHeight w:val="42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0265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AA75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3DF5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581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B37B7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Mehanizam za oporavak i otpornost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22A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0D5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18.054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32F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18.054</w:t>
            </w:r>
          </w:p>
        </w:tc>
      </w:tr>
      <w:tr w:rsidR="00CC580F" w:rsidRPr="00CC580F" w14:paraId="2297BC5D" w14:textId="77777777" w:rsidTr="004B055E">
        <w:tblPrEx>
          <w:jc w:val="left"/>
        </w:tblPrEx>
        <w:trPr>
          <w:gridAfter w:val="1"/>
          <w:wAfter w:w="464" w:type="dxa"/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E8AC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FA10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273F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7E1CA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BD0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10.000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A7E2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113.000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781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123.000</w:t>
            </w:r>
          </w:p>
        </w:tc>
      </w:tr>
      <w:tr w:rsidR="00CC580F" w:rsidRPr="00CC580F" w14:paraId="71C62E9A" w14:textId="77777777" w:rsidTr="004B055E">
        <w:tblPrEx>
          <w:jc w:val="left"/>
        </w:tblPrEx>
        <w:trPr>
          <w:gridAfter w:val="1"/>
          <w:wAfter w:w="464" w:type="dxa"/>
          <w:trHeight w:val="20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20EB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BF8B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0998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FD513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F06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16.790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6EB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1.891.000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16A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1.907.790</w:t>
            </w:r>
          </w:p>
        </w:tc>
      </w:tr>
      <w:tr w:rsidR="00CC580F" w:rsidRPr="00CC580F" w14:paraId="3F6BBA37" w14:textId="77777777" w:rsidTr="004B055E">
        <w:tblPrEx>
          <w:jc w:val="left"/>
        </w:tblPrEx>
        <w:trPr>
          <w:gridAfter w:val="1"/>
          <w:wAfter w:w="464" w:type="dxa"/>
          <w:trHeight w:val="2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6C8A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682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3ECC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F042D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1E8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2.290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9F6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E5C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2.290</w:t>
            </w:r>
          </w:p>
        </w:tc>
      </w:tr>
      <w:tr w:rsidR="00CC580F" w:rsidRPr="00CC580F" w14:paraId="793018F6" w14:textId="77777777" w:rsidTr="004B055E">
        <w:tblPrEx>
          <w:jc w:val="left"/>
        </w:tblPrEx>
        <w:trPr>
          <w:gridAfter w:val="1"/>
          <w:wAfter w:w="464" w:type="dxa"/>
          <w:trHeight w:val="34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3AF4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858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71EC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47B8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DB1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14.500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B789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1.891.000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091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1.905.500</w:t>
            </w:r>
          </w:p>
        </w:tc>
      </w:tr>
      <w:tr w:rsidR="00CC580F" w:rsidRPr="00CC580F" w14:paraId="44CEFD95" w14:textId="77777777" w:rsidTr="004B055E">
        <w:tblPrEx>
          <w:jc w:val="left"/>
        </w:tblPrEx>
        <w:trPr>
          <w:gridAfter w:val="1"/>
          <w:wAfter w:w="464" w:type="dxa"/>
          <w:trHeight w:val="55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A927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2F92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D90B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6331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0AE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24.755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708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78.899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A36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103.654</w:t>
            </w:r>
          </w:p>
        </w:tc>
      </w:tr>
      <w:tr w:rsidR="00CC580F" w:rsidRPr="00CC580F" w14:paraId="1E2CB556" w14:textId="77777777" w:rsidTr="004B055E">
        <w:tblPrEx>
          <w:jc w:val="left"/>
        </w:tblPrEx>
        <w:trPr>
          <w:gridAfter w:val="1"/>
          <w:wAfter w:w="464" w:type="dxa"/>
          <w:trHeight w:val="20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3174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0793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8552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AF40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34A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F644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A6F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1.000</w:t>
            </w:r>
          </w:p>
        </w:tc>
      </w:tr>
      <w:tr w:rsidR="00CC580F" w:rsidRPr="00CC580F" w14:paraId="42C589C5" w14:textId="77777777" w:rsidTr="004B055E">
        <w:tblPrEx>
          <w:jc w:val="left"/>
        </w:tblPrEx>
        <w:trPr>
          <w:gridAfter w:val="1"/>
          <w:wAfter w:w="464" w:type="dxa"/>
          <w:trHeight w:val="21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5694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3A14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E0EC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01A4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DDE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22.000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530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78.000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A7B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100.000</w:t>
            </w:r>
          </w:p>
        </w:tc>
      </w:tr>
      <w:tr w:rsidR="00CC580F" w:rsidRPr="00CC580F" w14:paraId="419848AE" w14:textId="77777777" w:rsidTr="004B055E">
        <w:tblPrEx>
          <w:jc w:val="left"/>
        </w:tblPrEx>
        <w:trPr>
          <w:gridAfter w:val="1"/>
          <w:wAfter w:w="464" w:type="dxa"/>
          <w:trHeight w:val="1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31B3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6EB5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009F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52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BA8B2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653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2.655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E3C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-1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DA6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2.654</w:t>
            </w:r>
          </w:p>
        </w:tc>
      </w:tr>
      <w:tr w:rsidR="00CC580F" w:rsidRPr="00CC580F" w14:paraId="71F00F65" w14:textId="77777777" w:rsidTr="004B055E">
        <w:tblPrEx>
          <w:jc w:val="left"/>
        </w:tblPrEx>
        <w:trPr>
          <w:gridAfter w:val="1"/>
          <w:wAfter w:w="464" w:type="dxa"/>
          <w:trHeight w:val="12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91BF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1D97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1BB0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09F82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41F4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0096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B4B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</w:tr>
      <w:tr w:rsidR="00CC580F" w:rsidRPr="00CC580F" w14:paraId="4321AD7C" w14:textId="77777777" w:rsidTr="004B055E">
        <w:tblPrEx>
          <w:jc w:val="left"/>
        </w:tblPrEx>
        <w:trPr>
          <w:gridAfter w:val="1"/>
          <w:wAfter w:w="464" w:type="dxa"/>
          <w:trHeight w:val="1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8F0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CFD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7209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AA850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D2E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37.013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2A4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57.500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ECE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94.513</w:t>
            </w:r>
          </w:p>
        </w:tc>
      </w:tr>
      <w:tr w:rsidR="00CC580F" w:rsidRPr="00CC580F" w14:paraId="3CC8AEB4" w14:textId="77777777" w:rsidTr="004B055E">
        <w:tblPrEx>
          <w:jc w:val="left"/>
        </w:tblPrEx>
        <w:trPr>
          <w:gridAfter w:val="1"/>
          <w:wAfter w:w="464" w:type="dxa"/>
          <w:trHeight w:val="258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952E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E2E2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C631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E8B6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6928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F19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DAB7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110</w:t>
            </w:r>
          </w:p>
        </w:tc>
      </w:tr>
      <w:tr w:rsidR="00CC580F" w:rsidRPr="00CC580F" w14:paraId="2ACF608F" w14:textId="77777777" w:rsidTr="004B055E">
        <w:tblPrEx>
          <w:jc w:val="left"/>
        </w:tblPrEx>
        <w:trPr>
          <w:gridAfter w:val="1"/>
          <w:wAfter w:w="464" w:type="dxa"/>
          <w:trHeight w:val="37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3169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59717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FBB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345D8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548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36.903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59F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57.500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7A8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94.403</w:t>
            </w:r>
          </w:p>
        </w:tc>
      </w:tr>
      <w:tr w:rsidR="00CC580F" w:rsidRPr="00CC580F" w14:paraId="4CF55E04" w14:textId="77777777" w:rsidTr="004B055E">
        <w:tblPrEx>
          <w:jc w:val="left"/>
        </w:tblPrEx>
        <w:trPr>
          <w:gridAfter w:val="1"/>
          <w:wAfter w:w="464" w:type="dxa"/>
          <w:trHeight w:val="31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822B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7CAD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DCC1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A4480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AF4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7.814.965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FDC8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3.263.710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AF3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11.078.675</w:t>
            </w:r>
          </w:p>
        </w:tc>
      </w:tr>
      <w:tr w:rsidR="00CC580F" w:rsidRPr="00CC580F" w14:paraId="61BA4BB8" w14:textId="77777777" w:rsidTr="004B055E">
        <w:tblPrEx>
          <w:jc w:val="left"/>
        </w:tblPrEx>
        <w:trPr>
          <w:gridAfter w:val="1"/>
          <w:wAfter w:w="464" w:type="dxa"/>
          <w:trHeight w:val="22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4B08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4BBD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681D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0F0EC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76E5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33.200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F87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171.900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A07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205.100</w:t>
            </w:r>
          </w:p>
        </w:tc>
      </w:tr>
      <w:tr w:rsidR="00CC580F" w:rsidRPr="00CC580F" w14:paraId="707DF4FF" w14:textId="77777777" w:rsidTr="004B055E">
        <w:tblPrEx>
          <w:jc w:val="left"/>
        </w:tblPrEx>
        <w:trPr>
          <w:gridAfter w:val="1"/>
          <w:wAfter w:w="464" w:type="dxa"/>
          <w:trHeight w:val="17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7BA1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A116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F74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D74F3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C686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33.000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980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129.900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19F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162.900</w:t>
            </w:r>
          </w:p>
        </w:tc>
      </w:tr>
      <w:tr w:rsidR="00CC580F" w:rsidRPr="00CC580F" w14:paraId="5FF6EDD9" w14:textId="77777777" w:rsidTr="004B055E">
        <w:tblPrEx>
          <w:jc w:val="left"/>
        </w:tblPrEx>
        <w:trPr>
          <w:gridAfter w:val="1"/>
          <w:wAfter w:w="464" w:type="dxa"/>
          <w:trHeight w:val="16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CBEA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B6C7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D73A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179A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5366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D86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42.000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AC07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42.100</w:t>
            </w:r>
          </w:p>
        </w:tc>
      </w:tr>
      <w:tr w:rsidR="00CC580F" w:rsidRPr="00CC580F" w14:paraId="0A4AF0E1" w14:textId="77777777" w:rsidTr="004B055E">
        <w:tblPrEx>
          <w:jc w:val="left"/>
        </w:tblPrEx>
        <w:trPr>
          <w:gridAfter w:val="1"/>
          <w:wAfter w:w="464" w:type="dxa"/>
          <w:trHeight w:val="16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F7C6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3EB0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8E0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AEBD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367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663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2BA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100</w:t>
            </w:r>
          </w:p>
        </w:tc>
      </w:tr>
      <w:tr w:rsidR="00CC580F" w:rsidRPr="00CC580F" w14:paraId="691BEF97" w14:textId="77777777" w:rsidTr="004B055E">
        <w:tblPrEx>
          <w:jc w:val="left"/>
        </w:tblPrEx>
        <w:trPr>
          <w:gridAfter w:val="1"/>
          <w:wAfter w:w="464" w:type="dxa"/>
          <w:trHeight w:val="75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78C3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788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B4C1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252DE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B9B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5.797.970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F25C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217.950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9443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6.015.920</w:t>
            </w:r>
          </w:p>
        </w:tc>
      </w:tr>
      <w:tr w:rsidR="00CC580F" w:rsidRPr="00CC580F" w14:paraId="4B55D725" w14:textId="77777777" w:rsidTr="004B055E">
        <w:tblPrEx>
          <w:jc w:val="left"/>
        </w:tblPrEx>
        <w:trPr>
          <w:gridAfter w:val="1"/>
          <w:wAfter w:w="464" w:type="dxa"/>
          <w:trHeight w:val="12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3515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5510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13C5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509E3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FDF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4.331.252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4B96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-900.000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DD9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3.431.252</w:t>
            </w:r>
          </w:p>
        </w:tc>
      </w:tr>
      <w:tr w:rsidR="00CC580F" w:rsidRPr="00CC580F" w14:paraId="29FE27A0" w14:textId="77777777" w:rsidTr="004B055E">
        <w:tblPrEx>
          <w:jc w:val="left"/>
        </w:tblPrEx>
        <w:trPr>
          <w:gridAfter w:val="1"/>
          <w:wAfter w:w="464" w:type="dxa"/>
          <w:trHeight w:val="1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8D9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4C4D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F0DF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6C119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C12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1.248.253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1D0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472.213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2AAC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1.720.466</w:t>
            </w:r>
          </w:p>
        </w:tc>
      </w:tr>
      <w:tr w:rsidR="00CC580F" w:rsidRPr="00CC580F" w14:paraId="2B453FCC" w14:textId="77777777" w:rsidTr="004B055E">
        <w:tblPrEx>
          <w:jc w:val="left"/>
        </w:tblPrEx>
        <w:trPr>
          <w:gridAfter w:val="1"/>
          <w:wAfter w:w="464" w:type="dxa"/>
          <w:trHeight w:val="27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F9B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2EFF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C5F9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52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BE73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0AA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195.797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3B5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305.100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31B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500.897</w:t>
            </w:r>
          </w:p>
        </w:tc>
      </w:tr>
      <w:tr w:rsidR="00CC580F" w:rsidRPr="00CC580F" w14:paraId="4287CB8A" w14:textId="77777777" w:rsidTr="004B055E">
        <w:tblPrEx>
          <w:jc w:val="left"/>
        </w:tblPrEx>
        <w:trPr>
          <w:gridAfter w:val="1"/>
          <w:wAfter w:w="464" w:type="dxa"/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D4F8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190E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3FC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91FF8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430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21.900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49738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310.607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2F5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332.507</w:t>
            </w:r>
          </w:p>
        </w:tc>
      </w:tr>
      <w:tr w:rsidR="00CC580F" w:rsidRPr="00CC580F" w14:paraId="10ED1E0E" w14:textId="77777777" w:rsidTr="004B055E">
        <w:tblPrEx>
          <w:jc w:val="left"/>
        </w:tblPrEx>
        <w:trPr>
          <w:gridAfter w:val="1"/>
          <w:wAfter w:w="464" w:type="dxa"/>
          <w:trHeight w:val="99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8554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C976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A1C9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6DD1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B885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768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C0D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30.030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57B6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30.798</w:t>
            </w:r>
          </w:p>
        </w:tc>
      </w:tr>
      <w:tr w:rsidR="00CC580F" w:rsidRPr="00CC580F" w14:paraId="3083C908" w14:textId="77777777" w:rsidTr="004B055E">
        <w:tblPrEx>
          <w:jc w:val="left"/>
        </w:tblPrEx>
        <w:trPr>
          <w:gridAfter w:val="1"/>
          <w:wAfter w:w="464" w:type="dxa"/>
          <w:trHeight w:val="33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6B28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D0FF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B101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4F827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0DA0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1.983.795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9A4B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2.873.860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270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4.857.655</w:t>
            </w:r>
          </w:p>
        </w:tc>
      </w:tr>
      <w:tr w:rsidR="00CC580F" w:rsidRPr="00CC580F" w14:paraId="497B8B8A" w14:textId="77777777" w:rsidTr="004B055E">
        <w:tblPrEx>
          <w:jc w:val="left"/>
        </w:tblPrEx>
        <w:trPr>
          <w:gridAfter w:val="1"/>
          <w:wAfter w:w="464" w:type="dxa"/>
          <w:trHeight w:val="27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1172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1E9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7D74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A8B86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7472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1.454.543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9B3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49.861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BFED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1.504.404</w:t>
            </w:r>
          </w:p>
        </w:tc>
      </w:tr>
      <w:tr w:rsidR="00CC580F" w:rsidRPr="00CC580F" w14:paraId="52A65B03" w14:textId="77777777" w:rsidTr="004B055E">
        <w:tblPrEx>
          <w:jc w:val="left"/>
        </w:tblPrEx>
        <w:trPr>
          <w:gridAfter w:val="1"/>
          <w:wAfter w:w="464" w:type="dxa"/>
          <w:trHeight w:val="2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5116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8DE2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5A2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372A6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21F4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257.000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6998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643.000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5C1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900.000</w:t>
            </w:r>
          </w:p>
        </w:tc>
      </w:tr>
      <w:tr w:rsidR="00CC580F" w:rsidRPr="00CC580F" w14:paraId="1F9A628E" w14:textId="77777777" w:rsidTr="004B055E">
        <w:tblPrEx>
          <w:jc w:val="left"/>
        </w:tblPrEx>
        <w:trPr>
          <w:gridAfter w:val="1"/>
          <w:wAfter w:w="464" w:type="dxa"/>
          <w:trHeight w:val="96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E6EC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DEA8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AD3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52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FEA58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E1EF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7.000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7B4C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1.456.790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E896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1.463.790</w:t>
            </w:r>
          </w:p>
        </w:tc>
      </w:tr>
      <w:tr w:rsidR="00CC580F" w:rsidRPr="00CC580F" w14:paraId="5087ACAF" w14:textId="77777777" w:rsidTr="004B055E">
        <w:tblPrEx>
          <w:jc w:val="left"/>
        </w:tblPrEx>
        <w:trPr>
          <w:gridAfter w:val="1"/>
          <w:wAfter w:w="464" w:type="dxa"/>
          <w:trHeight w:val="37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39A2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DCFB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5870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581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8FE5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Mehanizam za oporavak i otpornost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131C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263.252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0978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270.709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130B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533.961</w:t>
            </w:r>
          </w:p>
        </w:tc>
      </w:tr>
      <w:tr w:rsidR="00CC580F" w:rsidRPr="00CC580F" w14:paraId="45492F88" w14:textId="77777777" w:rsidTr="004B055E">
        <w:tblPrEx>
          <w:jc w:val="left"/>
        </w:tblPrEx>
        <w:trPr>
          <w:gridAfter w:val="1"/>
          <w:wAfter w:w="464" w:type="dxa"/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8903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245C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AF5FA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2AD8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7950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2.000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E2C3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423.500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92D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425.500</w:t>
            </w:r>
          </w:p>
        </w:tc>
      </w:tr>
      <w:tr w:rsidR="00CC580F" w:rsidRPr="00CC580F" w14:paraId="2ED7C108" w14:textId="77777777" w:rsidTr="004B055E">
        <w:tblPrEx>
          <w:jc w:val="left"/>
        </w:tblPrEx>
        <w:trPr>
          <w:gridAfter w:val="1"/>
          <w:wAfter w:w="464" w:type="dxa"/>
          <w:trHeight w:val="8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490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A619C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F8AFE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71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40CA4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5A54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35DE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30.000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5519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30.000</w:t>
            </w:r>
          </w:p>
        </w:tc>
      </w:tr>
    </w:tbl>
    <w:p w14:paraId="42BF875E" w14:textId="26152C25" w:rsidR="00CC580F" w:rsidRDefault="00CC580F" w:rsidP="00A075F9">
      <w:pPr>
        <w:pStyle w:val="Odlomakpopisa"/>
        <w:ind w:left="792"/>
        <w:rPr>
          <w:color w:val="2F5496" w:themeColor="accent1" w:themeShade="BF"/>
          <w:sz w:val="32"/>
          <w:szCs w:val="32"/>
        </w:rPr>
      </w:pPr>
    </w:p>
    <w:tbl>
      <w:tblPr>
        <w:tblW w:w="8620" w:type="dxa"/>
        <w:jc w:val="center"/>
        <w:tblLook w:val="04A0" w:firstRow="1" w:lastRow="0" w:firstColumn="1" w:lastColumn="0" w:noHBand="0" w:noVBand="1"/>
      </w:tblPr>
      <w:tblGrid>
        <w:gridCol w:w="3520"/>
        <w:gridCol w:w="1700"/>
        <w:gridCol w:w="1700"/>
        <w:gridCol w:w="1700"/>
      </w:tblGrid>
      <w:tr w:rsidR="00CC580F" w:rsidRPr="00CC580F" w14:paraId="39FB6D69" w14:textId="77777777" w:rsidTr="00CA176B">
        <w:trPr>
          <w:trHeight w:val="630"/>
          <w:jc w:val="center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6361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A.3. RASHODI PREMA IZVORIMA FINANCIRANJA</w:t>
            </w:r>
          </w:p>
        </w:tc>
      </w:tr>
      <w:tr w:rsidR="00CC580F" w:rsidRPr="00CC580F" w14:paraId="6C7D4EC0" w14:textId="77777777" w:rsidTr="00CA176B">
        <w:trPr>
          <w:trHeight w:val="315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121A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A23E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DC32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426D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580F" w:rsidRPr="00CC580F" w14:paraId="32A4E0BF" w14:textId="77777777" w:rsidTr="00CA176B">
        <w:trPr>
          <w:trHeight w:val="532"/>
          <w:jc w:val="center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E42FF08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0B3EA35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2025.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D0BD986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 / smanjenje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AA4E2FD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</w:t>
            </w:r>
          </w:p>
        </w:tc>
      </w:tr>
      <w:tr w:rsidR="00CC580F" w:rsidRPr="00CC580F" w14:paraId="09971DE8" w14:textId="77777777" w:rsidTr="00CA176B">
        <w:trPr>
          <w:trHeight w:val="11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DB3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F44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01889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1F1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CC580F" w:rsidRPr="00CC580F" w14:paraId="7C75EB1F" w14:textId="77777777" w:rsidTr="00CA176B">
        <w:trPr>
          <w:trHeight w:val="31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30675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RASHODI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B5A5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229.200.856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4CEE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12.145.100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19EC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241.345.956</w:t>
            </w:r>
          </w:p>
        </w:tc>
      </w:tr>
      <w:tr w:rsidR="00CC580F" w:rsidRPr="00CC580F" w14:paraId="12ECBF1C" w14:textId="77777777" w:rsidTr="00CA176B">
        <w:trPr>
          <w:trHeight w:val="26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FD92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 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1A6E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11.213.318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BBB3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-620.239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AE12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10.593.079</w:t>
            </w:r>
          </w:p>
        </w:tc>
      </w:tr>
      <w:tr w:rsidR="00CC580F" w:rsidRPr="00CC580F" w14:paraId="3F07DB20" w14:textId="77777777" w:rsidTr="00CA176B">
        <w:trPr>
          <w:trHeight w:val="126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C5E28" w14:textId="77777777" w:rsidR="00CC580F" w:rsidRPr="00CC580F" w:rsidRDefault="00CC580F" w:rsidP="00CC580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11 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4D4D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11.213.318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6DBD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-620.239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C410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10.593.079</w:t>
            </w:r>
          </w:p>
        </w:tc>
      </w:tr>
      <w:tr w:rsidR="00CC580F" w:rsidRPr="00CC580F" w14:paraId="162C9A2D" w14:textId="77777777" w:rsidTr="00CA176B">
        <w:trPr>
          <w:trHeight w:val="273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E20D6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 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6CC9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2.138.001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39F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1.161.521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C24C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3.299.522</w:t>
            </w:r>
          </w:p>
        </w:tc>
      </w:tr>
      <w:tr w:rsidR="00CC580F" w:rsidRPr="00CC580F" w14:paraId="387E5639" w14:textId="77777777" w:rsidTr="00CA176B">
        <w:trPr>
          <w:trHeight w:val="107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371AF" w14:textId="77777777" w:rsidR="00CC580F" w:rsidRPr="00CC580F" w:rsidRDefault="00CC580F" w:rsidP="00CC580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31 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D2F6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2.138.001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03A5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1.161.521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9FC3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3.299.522</w:t>
            </w:r>
          </w:p>
        </w:tc>
      </w:tr>
      <w:tr w:rsidR="00CC580F" w:rsidRPr="00CC580F" w14:paraId="77D5FE86" w14:textId="77777777" w:rsidTr="00CA176B">
        <w:trPr>
          <w:trHeight w:val="253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EAD09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 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1146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215.232.681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9717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8.396.496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3A4C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223.629.177</w:t>
            </w:r>
          </w:p>
        </w:tc>
      </w:tr>
      <w:tr w:rsidR="00CC580F" w:rsidRPr="00CC580F" w14:paraId="445575C4" w14:textId="77777777" w:rsidTr="00CA176B">
        <w:trPr>
          <w:trHeight w:val="526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4167" w14:textId="77777777" w:rsidR="00CC580F" w:rsidRPr="00CC580F" w:rsidRDefault="00CC580F" w:rsidP="00CC580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43 Ostali prihodi za posebne namjene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40DD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215.232.681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FF5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8.396.496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B771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223.629.177</w:t>
            </w:r>
          </w:p>
        </w:tc>
      </w:tr>
      <w:tr w:rsidR="00CC580F" w:rsidRPr="00CC580F" w14:paraId="40C1FC67" w14:textId="77777777" w:rsidTr="00CA176B">
        <w:trPr>
          <w:trHeight w:val="122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3BF1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 Pomoći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5A10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582.088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E753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2.300.185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2736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2.882.273</w:t>
            </w:r>
          </w:p>
        </w:tc>
      </w:tr>
      <w:tr w:rsidR="00CC580F" w:rsidRPr="00CC580F" w14:paraId="6D0D8324" w14:textId="77777777" w:rsidTr="00CA176B">
        <w:trPr>
          <w:trHeight w:val="99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CD36B" w14:textId="77777777" w:rsidR="00CC580F" w:rsidRPr="00CC580F" w:rsidRDefault="00CC580F" w:rsidP="00CC580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52 Ostale pomoći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7A9D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318.836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054E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1.873.677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47DD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2.192.513</w:t>
            </w:r>
          </w:p>
        </w:tc>
      </w:tr>
      <w:tr w:rsidR="00CC580F" w:rsidRPr="00CC580F" w14:paraId="2B154662" w14:textId="77777777" w:rsidTr="00CA176B">
        <w:trPr>
          <w:trHeight w:val="64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CDF96" w14:textId="77777777" w:rsidR="00CC580F" w:rsidRPr="00CC580F" w:rsidRDefault="00CC580F" w:rsidP="00CC580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581 Mehanizam za oporavak i otpornost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44E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263.252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2095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426.508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E1E82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689.760</w:t>
            </w:r>
          </w:p>
        </w:tc>
      </w:tr>
      <w:tr w:rsidR="00CC580F" w:rsidRPr="00CC580F" w14:paraId="0243969F" w14:textId="77777777" w:rsidTr="00CA176B">
        <w:trPr>
          <w:trHeight w:val="15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9D951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 Donacije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EFB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2F98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847.107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C674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881.107</w:t>
            </w:r>
          </w:p>
        </w:tc>
      </w:tr>
      <w:tr w:rsidR="00CC580F" w:rsidRPr="00CC580F" w14:paraId="463F040A" w14:textId="77777777" w:rsidTr="00CA176B">
        <w:trPr>
          <w:trHeight w:val="145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5F43A" w14:textId="77777777" w:rsidR="00CC580F" w:rsidRPr="00CC580F" w:rsidRDefault="00CC580F" w:rsidP="00CC580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61 Donacije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7443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34.000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FE49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847.107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1582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881.107</w:t>
            </w:r>
          </w:p>
        </w:tc>
      </w:tr>
      <w:tr w:rsidR="00CC580F" w:rsidRPr="00CC580F" w14:paraId="2641BEE0" w14:textId="77777777" w:rsidTr="00CA176B">
        <w:trPr>
          <w:trHeight w:val="560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ADEDA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 Prihodi od prodaje ili zamjene nefinancijske imovine i naknade s naslova osiguranja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44EA0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768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92CAA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60.030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335BF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60.798</w:t>
            </w:r>
          </w:p>
        </w:tc>
      </w:tr>
      <w:tr w:rsidR="00CC580F" w:rsidRPr="00CC580F" w14:paraId="632828F9" w14:textId="77777777" w:rsidTr="00CA176B">
        <w:trPr>
          <w:trHeight w:val="728"/>
          <w:jc w:val="center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44CB9" w14:textId="77777777" w:rsidR="00CC580F" w:rsidRPr="00CC580F" w:rsidRDefault="00CC580F" w:rsidP="00CC580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71 Prihodi od prodaje ili zamjene nefinancijske imovine i naknade s naslova osiguranja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03BA3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768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C9B4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60.030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ED6ED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60.798</w:t>
            </w:r>
          </w:p>
        </w:tc>
      </w:tr>
    </w:tbl>
    <w:p w14:paraId="154B51EC" w14:textId="77777777" w:rsidR="00CC580F" w:rsidRDefault="00CC580F" w:rsidP="00A075F9">
      <w:pPr>
        <w:pStyle w:val="Odlomakpopisa"/>
        <w:ind w:left="792"/>
        <w:rPr>
          <w:color w:val="2F5496" w:themeColor="accent1" w:themeShade="BF"/>
          <w:sz w:val="32"/>
          <w:szCs w:val="32"/>
        </w:rPr>
      </w:pPr>
    </w:p>
    <w:p w14:paraId="7C0A2193" w14:textId="77777777" w:rsidR="009C7DAB" w:rsidRDefault="009C7DAB" w:rsidP="00A075F9">
      <w:pPr>
        <w:pStyle w:val="Odlomakpopisa"/>
        <w:ind w:left="792"/>
        <w:rPr>
          <w:color w:val="2F5496" w:themeColor="accent1" w:themeShade="BF"/>
          <w:sz w:val="32"/>
          <w:szCs w:val="32"/>
        </w:rPr>
      </w:pP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840"/>
        <w:gridCol w:w="1740"/>
        <w:gridCol w:w="1560"/>
        <w:gridCol w:w="2200"/>
      </w:tblGrid>
      <w:tr w:rsidR="00CC580F" w:rsidRPr="00CC580F" w14:paraId="699BBD28" w14:textId="77777777" w:rsidTr="00CC580F">
        <w:trPr>
          <w:trHeight w:val="630"/>
          <w:jc w:val="center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6880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A. 4. RASHODI PREMA FUNKCIJSKOJ KLASIFIKACIJI</w:t>
            </w:r>
          </w:p>
        </w:tc>
      </w:tr>
      <w:tr w:rsidR="00CC580F" w:rsidRPr="00CC580F" w14:paraId="5B7AD17F" w14:textId="77777777" w:rsidTr="00CC580F">
        <w:trPr>
          <w:trHeight w:val="315"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48C6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782D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1165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0843" w14:textId="77777777" w:rsidR="00CC580F" w:rsidRPr="00CC580F" w:rsidRDefault="00CC580F" w:rsidP="00CC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580F" w:rsidRPr="00CC580F" w14:paraId="459D5219" w14:textId="77777777" w:rsidTr="00CA176B">
        <w:trPr>
          <w:trHeight w:val="589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1C3E93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3D6313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2025.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B2B66E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 / smanjenje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B173D73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</w:t>
            </w:r>
          </w:p>
        </w:tc>
      </w:tr>
      <w:tr w:rsidR="00CC580F" w:rsidRPr="00CC580F" w14:paraId="05CBC053" w14:textId="77777777" w:rsidTr="00CC580F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6385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C85F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C34B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D0BD4" w14:textId="77777777" w:rsidR="00CC580F" w:rsidRPr="00CC580F" w:rsidRDefault="00CC580F" w:rsidP="00CC58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CC580F" w:rsidRPr="00CC580F" w14:paraId="2391D0DE" w14:textId="77777777" w:rsidTr="00CA176B">
        <w:trPr>
          <w:trHeight w:val="233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F0D0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C5266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229.200.856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1F031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12.145.100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8592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241.345.956</w:t>
            </w:r>
          </w:p>
        </w:tc>
      </w:tr>
      <w:tr w:rsidR="00CC580F" w:rsidRPr="00CC580F" w14:paraId="7544FFCE" w14:textId="77777777" w:rsidTr="00CA176B">
        <w:trPr>
          <w:trHeight w:val="222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68CFF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07 Zdravstvo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BDCE5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229.200.856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5F0E4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12.145.100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74167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241.345.956</w:t>
            </w:r>
          </w:p>
        </w:tc>
      </w:tr>
      <w:tr w:rsidR="00CC580F" w:rsidRPr="00CC580F" w14:paraId="2BE3714C" w14:textId="77777777" w:rsidTr="00CA176B">
        <w:trPr>
          <w:trHeight w:val="227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6778C" w14:textId="77777777" w:rsidR="00CC580F" w:rsidRPr="00CC580F" w:rsidRDefault="00CC580F" w:rsidP="00CC58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073 Bolničke službe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1D7C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229.200.856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8FFF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12.145.100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1032B" w14:textId="77777777" w:rsidR="00CC580F" w:rsidRPr="00CC580F" w:rsidRDefault="00CC580F" w:rsidP="00CC58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C580F">
              <w:rPr>
                <w:rFonts w:ascii="Calibri" w:eastAsia="Times New Roman" w:hAnsi="Calibri" w:cs="Calibri"/>
                <w:color w:val="000000"/>
                <w:lang w:eastAsia="hr-HR"/>
              </w:rPr>
              <w:t>241.345.956</w:t>
            </w:r>
          </w:p>
        </w:tc>
      </w:tr>
    </w:tbl>
    <w:p w14:paraId="3CAE5CD2" w14:textId="51992AC1" w:rsidR="00CC580F" w:rsidRDefault="00CC580F" w:rsidP="00A075F9">
      <w:pPr>
        <w:pStyle w:val="Odlomakpopisa"/>
        <w:ind w:left="792"/>
        <w:rPr>
          <w:color w:val="2F5496" w:themeColor="accent1" w:themeShade="BF"/>
          <w:sz w:val="32"/>
          <w:szCs w:val="32"/>
        </w:rPr>
        <w:sectPr w:rsidR="00CC580F" w:rsidSect="00573AAA">
          <w:footerReference w:type="default" r:id="rId9"/>
          <w:pgSz w:w="11906" w:h="16838" w:code="9"/>
          <w:pgMar w:top="1077" w:right="1077" w:bottom="1134" w:left="1191" w:header="567" w:footer="624" w:gutter="0"/>
          <w:pgBorders w:offsetFrom="page">
            <w:top w:val="double" w:sz="4" w:space="24" w:color="auto"/>
          </w:pgBorders>
          <w:cols w:space="708"/>
          <w:titlePg/>
          <w:docGrid w:linePitch="360"/>
        </w:sectPr>
      </w:pPr>
    </w:p>
    <w:p w14:paraId="7378702D" w14:textId="05351ACD" w:rsidR="002B0038" w:rsidRPr="000E2FBA" w:rsidRDefault="002B0038" w:rsidP="009D6532">
      <w:pPr>
        <w:pStyle w:val="Naslov1"/>
        <w:numPr>
          <w:ilvl w:val="0"/>
          <w:numId w:val="29"/>
        </w:numPr>
        <w:pBdr>
          <w:top w:val="double" w:sz="4" w:space="1" w:color="auto"/>
          <w:bottom w:val="double" w:sz="4" w:space="1" w:color="auto"/>
        </w:pBdr>
        <w:shd w:val="clear" w:color="auto" w:fill="D5DCE4" w:themeFill="text2" w:themeFillTint="33"/>
        <w:ind w:left="357" w:hanging="357"/>
      </w:pPr>
      <w:bookmarkStart w:id="1" w:name="_Toc116997199"/>
      <w:r w:rsidRPr="00AB324B">
        <w:lastRenderedPageBreak/>
        <w:t>OBRAZLOŽENJE</w:t>
      </w:r>
      <w:r w:rsidRPr="000E2FBA">
        <w:t xml:space="preserve"> OPĆEG DIJELA FINANCIJSKOG PLANA</w:t>
      </w:r>
      <w:bookmarkEnd w:id="1"/>
      <w:r w:rsidRPr="000E2FBA">
        <w:t xml:space="preserve"> </w:t>
      </w:r>
      <w:r w:rsidR="002B1D8C">
        <w:t>– 1.rebalans</w:t>
      </w:r>
    </w:p>
    <w:p w14:paraId="6E74566C" w14:textId="77777777" w:rsidR="002B0038" w:rsidRDefault="002B0038" w:rsidP="002B00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4529E" w14:textId="77777777" w:rsidR="002B0038" w:rsidRPr="00033CD0" w:rsidRDefault="002B0038" w:rsidP="002B003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33CD0">
        <w:rPr>
          <w:rFonts w:cstheme="minorHAnsi"/>
          <w:b/>
          <w:sz w:val="24"/>
          <w:szCs w:val="24"/>
        </w:rPr>
        <w:t>PRIHODI I PRIMICI</w:t>
      </w:r>
    </w:p>
    <w:p w14:paraId="7754F4D3" w14:textId="7FEEF603" w:rsidR="002B0038" w:rsidRPr="00BD2618" w:rsidRDefault="002B0038" w:rsidP="002B0038">
      <w:pPr>
        <w:spacing w:line="240" w:lineRule="auto"/>
        <w:jc w:val="both"/>
        <w:rPr>
          <w:rFonts w:cstheme="minorHAnsi"/>
          <w:bCs/>
        </w:rPr>
      </w:pPr>
      <w:r w:rsidRPr="00BD2618">
        <w:rPr>
          <w:rFonts w:cstheme="minorHAnsi"/>
          <w:bCs/>
        </w:rPr>
        <w:t>Ukupni prihodi planirani za 202</w:t>
      </w:r>
      <w:r w:rsidR="00B25D1F">
        <w:rPr>
          <w:rFonts w:cstheme="minorHAnsi"/>
          <w:bCs/>
        </w:rPr>
        <w:t>5</w:t>
      </w:r>
      <w:r w:rsidRPr="00BD2618">
        <w:rPr>
          <w:rFonts w:cstheme="minorHAnsi"/>
          <w:bCs/>
        </w:rPr>
        <w:t xml:space="preserve">. </w:t>
      </w:r>
      <w:r w:rsidR="00DD6445">
        <w:rPr>
          <w:rFonts w:cstheme="minorHAnsi"/>
          <w:bCs/>
        </w:rPr>
        <w:t xml:space="preserve">povećavaju se za </w:t>
      </w:r>
      <w:r w:rsidR="00071F64">
        <w:rPr>
          <w:rFonts w:cstheme="minorHAnsi"/>
          <w:bCs/>
        </w:rPr>
        <w:t>1</w:t>
      </w:r>
      <w:r w:rsidR="005479ED">
        <w:rPr>
          <w:rFonts w:cstheme="minorHAnsi"/>
          <w:bCs/>
        </w:rPr>
        <w:t>0.610.360</w:t>
      </w:r>
      <w:r w:rsidR="00DD6445">
        <w:rPr>
          <w:rFonts w:cstheme="minorHAnsi"/>
          <w:bCs/>
        </w:rPr>
        <w:t xml:space="preserve"> EUR, te iznose </w:t>
      </w:r>
      <w:r w:rsidR="005479ED">
        <w:rPr>
          <w:rFonts w:cstheme="minorHAnsi"/>
          <w:bCs/>
        </w:rPr>
        <w:t>239.811.216</w:t>
      </w:r>
      <w:r w:rsidR="00DD6445">
        <w:rPr>
          <w:rFonts w:cstheme="minorHAnsi"/>
          <w:bCs/>
        </w:rPr>
        <w:t xml:space="preserve"> EUR.</w:t>
      </w:r>
    </w:p>
    <w:p w14:paraId="11412E78" w14:textId="7F3BB1F0" w:rsidR="002B0038" w:rsidRPr="009A73E5" w:rsidRDefault="002B0038" w:rsidP="002B0038">
      <w:pPr>
        <w:spacing w:line="240" w:lineRule="auto"/>
        <w:jc w:val="both"/>
        <w:rPr>
          <w:rFonts w:cstheme="minorHAnsi"/>
          <w:bCs/>
          <w:highlight w:val="yellow"/>
        </w:rPr>
      </w:pPr>
      <w:r w:rsidRPr="00BD2618">
        <w:rPr>
          <w:rFonts w:cstheme="minorHAnsi"/>
          <w:bCs/>
        </w:rPr>
        <w:t>Prihodi skupine 63 Pomoći iz inozemstva i od subjekata unutar općeg proračuna</w:t>
      </w:r>
      <w:r w:rsidR="00DD6445">
        <w:rPr>
          <w:rFonts w:cstheme="minorHAnsi"/>
          <w:bCs/>
        </w:rPr>
        <w:t xml:space="preserve"> povećavaju se za </w:t>
      </w:r>
      <w:r w:rsidR="005479ED">
        <w:rPr>
          <w:rFonts w:cstheme="minorHAnsi"/>
          <w:bCs/>
        </w:rPr>
        <w:t>1.361.399</w:t>
      </w:r>
      <w:r w:rsidR="00DD6445">
        <w:rPr>
          <w:rFonts w:cstheme="minorHAnsi"/>
          <w:bCs/>
        </w:rPr>
        <w:t xml:space="preserve"> EUR</w:t>
      </w:r>
      <w:r w:rsidR="00EB5C7E">
        <w:rPr>
          <w:rFonts w:cstheme="minorHAnsi"/>
          <w:bCs/>
        </w:rPr>
        <w:t xml:space="preserve">, te iznose 1.680.235 EUR. </w:t>
      </w:r>
      <w:r w:rsidR="005479ED">
        <w:rPr>
          <w:rFonts w:cstheme="minorHAnsi"/>
          <w:bCs/>
        </w:rPr>
        <w:t xml:space="preserve">  </w:t>
      </w:r>
      <w:r w:rsidR="00935493">
        <w:rPr>
          <w:rFonts w:cstheme="minorHAnsi"/>
          <w:bCs/>
        </w:rPr>
        <w:t xml:space="preserve">Povećanje je </w:t>
      </w:r>
      <w:r w:rsidR="000C2EC7">
        <w:rPr>
          <w:rFonts w:cstheme="minorHAnsi"/>
          <w:bCs/>
        </w:rPr>
        <w:t xml:space="preserve">u cijelosti </w:t>
      </w:r>
      <w:r w:rsidR="00935493">
        <w:rPr>
          <w:rFonts w:cstheme="minorHAnsi"/>
          <w:bCs/>
        </w:rPr>
        <w:t>planirano</w:t>
      </w:r>
      <w:r w:rsidR="000C2EC7">
        <w:rPr>
          <w:rFonts w:cstheme="minorHAnsi"/>
          <w:bCs/>
        </w:rPr>
        <w:t xml:space="preserve"> sa IF 52</w:t>
      </w:r>
      <w:r w:rsidR="00935493">
        <w:rPr>
          <w:rFonts w:cstheme="minorHAnsi"/>
          <w:bCs/>
        </w:rPr>
        <w:t xml:space="preserve"> osnovom: Pomoći inozemnih vlada izvan EU za projekt „Digitalna telemedicina“ u iznosu 2.402 EUR, </w:t>
      </w:r>
      <w:bookmarkStart w:id="2" w:name="_Hlk211245845"/>
      <w:r w:rsidR="00C24F9E">
        <w:rPr>
          <w:rFonts w:cstheme="minorHAnsi"/>
          <w:bCs/>
        </w:rPr>
        <w:t>tekućih pomoći od izvanproračunskih korisnika (HZZO)  u iznosu 102.419 EUR za financiranje 18 pripravnika od 01.08.2025.</w:t>
      </w:r>
      <w:bookmarkEnd w:id="2"/>
      <w:r w:rsidR="00C24F9E">
        <w:rPr>
          <w:rFonts w:cstheme="minorHAnsi"/>
          <w:bCs/>
        </w:rPr>
        <w:t xml:space="preserve">, pomoći Fonda za zaštitu okoliša u iznosu 305.014 EUR za zamjenu </w:t>
      </w:r>
      <w:proofErr w:type="spellStart"/>
      <w:r w:rsidR="00C24F9E">
        <w:rPr>
          <w:rFonts w:cstheme="minorHAnsi"/>
          <w:bCs/>
        </w:rPr>
        <w:t>rashladnika</w:t>
      </w:r>
      <w:proofErr w:type="spellEnd"/>
      <w:r w:rsidR="00C24F9E">
        <w:rPr>
          <w:rFonts w:cstheme="minorHAnsi"/>
          <w:bCs/>
        </w:rPr>
        <w:t xml:space="preserve"> vode, pomoći iz proračuna koji nije nadležan u iznosu 158.000 EUR za uređenje prostora dermatologije, te oftalmologije, </w:t>
      </w:r>
      <w:r w:rsidR="00C24F9E" w:rsidRPr="00C24F9E">
        <w:rPr>
          <w:rFonts w:cstheme="minorHAnsi"/>
          <w:bCs/>
        </w:rPr>
        <w:t xml:space="preserve">prijenosa sredstava Ministarstva znanosti, obrazovanja i mladih za projekt "Poremećaj očnih  pokreta kod bolesnika poremećaja pokreta" u </w:t>
      </w:r>
      <w:r w:rsidR="00C24F9E">
        <w:rPr>
          <w:rFonts w:cstheme="minorHAnsi"/>
          <w:bCs/>
        </w:rPr>
        <w:t>i</w:t>
      </w:r>
      <w:r w:rsidR="00C24F9E" w:rsidRPr="00C24F9E">
        <w:rPr>
          <w:rFonts w:cstheme="minorHAnsi"/>
          <w:bCs/>
        </w:rPr>
        <w:t>znosu 1.00</w:t>
      </w:r>
      <w:r w:rsidR="00C24F9E">
        <w:rPr>
          <w:rFonts w:cstheme="minorHAnsi"/>
          <w:bCs/>
        </w:rPr>
        <w:t xml:space="preserve">1 EUR, </w:t>
      </w:r>
      <w:r w:rsidR="00C24F9E" w:rsidRPr="00C24F9E">
        <w:rPr>
          <w:rFonts w:cstheme="minorHAnsi"/>
          <w:bCs/>
        </w:rPr>
        <w:t>suglasnosti MZ od 19.2.2025. za uređenje prostora i vrata linearnog akceleratora</w:t>
      </w:r>
      <w:r w:rsidR="00C24F9E">
        <w:rPr>
          <w:rFonts w:cstheme="minorHAnsi"/>
          <w:bCs/>
        </w:rPr>
        <w:t xml:space="preserve"> </w:t>
      </w:r>
      <w:r w:rsidR="00C24F9E" w:rsidRPr="00C24F9E">
        <w:rPr>
          <w:rFonts w:cstheme="minorHAnsi"/>
          <w:bCs/>
        </w:rPr>
        <w:t>u iznosu 792.563</w:t>
      </w:r>
      <w:r w:rsidR="00C24F9E">
        <w:rPr>
          <w:rFonts w:cstheme="minorHAnsi"/>
          <w:bCs/>
        </w:rPr>
        <w:t xml:space="preserve"> EUR.</w:t>
      </w:r>
    </w:p>
    <w:p w14:paraId="0CA06479" w14:textId="1B173F89" w:rsidR="002B0038" w:rsidRPr="009A73E5" w:rsidRDefault="002B0038" w:rsidP="002B0038">
      <w:pPr>
        <w:spacing w:line="240" w:lineRule="auto"/>
        <w:jc w:val="both"/>
        <w:rPr>
          <w:rFonts w:cstheme="minorHAnsi"/>
          <w:bCs/>
          <w:highlight w:val="yellow"/>
        </w:rPr>
      </w:pPr>
      <w:r w:rsidRPr="009A73E5">
        <w:rPr>
          <w:rFonts w:cstheme="minorHAnsi"/>
          <w:bCs/>
        </w:rPr>
        <w:t xml:space="preserve">Prihodi skupine 64 Prihodi od imovine </w:t>
      </w:r>
      <w:r w:rsidR="00DD6445" w:rsidRPr="009A73E5">
        <w:rPr>
          <w:rFonts w:cstheme="minorHAnsi"/>
          <w:bCs/>
        </w:rPr>
        <w:t>nisu korigira</w:t>
      </w:r>
      <w:r w:rsidR="00DD6445" w:rsidRPr="00CF40FC">
        <w:rPr>
          <w:rFonts w:cstheme="minorHAnsi"/>
          <w:bCs/>
        </w:rPr>
        <w:t>ni</w:t>
      </w:r>
      <w:r w:rsidRPr="00CF40FC">
        <w:rPr>
          <w:rFonts w:cstheme="minorHAnsi"/>
          <w:bCs/>
        </w:rPr>
        <w:t>.</w:t>
      </w:r>
    </w:p>
    <w:p w14:paraId="003B3640" w14:textId="7F2CC925" w:rsidR="002B0038" w:rsidRPr="00495093" w:rsidRDefault="002B0038" w:rsidP="002B0038">
      <w:pPr>
        <w:spacing w:line="240" w:lineRule="auto"/>
        <w:jc w:val="both"/>
        <w:rPr>
          <w:rFonts w:cstheme="minorHAnsi"/>
          <w:bCs/>
        </w:rPr>
      </w:pPr>
      <w:r w:rsidRPr="00495093">
        <w:rPr>
          <w:rFonts w:cstheme="minorHAnsi"/>
          <w:bCs/>
        </w:rPr>
        <w:t xml:space="preserve">Prihodi skupine 65 Prihodi od upravnih i administrativnih pristojbi, pristojbi po posebnim propisima i naknada </w:t>
      </w:r>
      <w:r w:rsidR="00DD6445" w:rsidRPr="00495093">
        <w:rPr>
          <w:rFonts w:cstheme="minorHAnsi"/>
          <w:bCs/>
        </w:rPr>
        <w:t xml:space="preserve">povećavaju se za </w:t>
      </w:r>
      <w:r w:rsidR="008F2E0D">
        <w:rPr>
          <w:rFonts w:cstheme="minorHAnsi"/>
          <w:bCs/>
        </w:rPr>
        <w:t>444.350</w:t>
      </w:r>
      <w:r w:rsidR="00DD6445" w:rsidRPr="00495093">
        <w:rPr>
          <w:rFonts w:cstheme="minorHAnsi"/>
          <w:bCs/>
        </w:rPr>
        <w:t xml:space="preserve"> EUR, te iznose </w:t>
      </w:r>
      <w:r w:rsidR="008F2E0D">
        <w:rPr>
          <w:rFonts w:cstheme="minorHAnsi"/>
          <w:bCs/>
        </w:rPr>
        <w:t>13.312.350</w:t>
      </w:r>
      <w:r w:rsidR="00DD6445" w:rsidRPr="00495093">
        <w:rPr>
          <w:rFonts w:cstheme="minorHAnsi"/>
          <w:bCs/>
        </w:rPr>
        <w:t xml:space="preserve"> EUR. Povećanje </w:t>
      </w:r>
      <w:r w:rsidR="008F2E0D">
        <w:rPr>
          <w:rFonts w:cstheme="minorHAnsi"/>
          <w:bCs/>
        </w:rPr>
        <w:t xml:space="preserve">je planirano na IF 43 u iznosu 413.100 EUR </w:t>
      </w:r>
      <w:r w:rsidR="00DD6445" w:rsidRPr="00495093">
        <w:rPr>
          <w:rFonts w:cstheme="minorHAnsi"/>
          <w:bCs/>
        </w:rPr>
        <w:t xml:space="preserve">osnovom </w:t>
      </w:r>
      <w:r w:rsidR="00495093">
        <w:rPr>
          <w:rFonts w:cstheme="minorHAnsi"/>
          <w:bCs/>
        </w:rPr>
        <w:t xml:space="preserve"> izvršenog na poziciji sufinanciranje cijene usluge, participacije i sl</w:t>
      </w:r>
      <w:r w:rsidRPr="00495093">
        <w:rPr>
          <w:rFonts w:cstheme="minorHAnsi"/>
          <w:bCs/>
        </w:rPr>
        <w:t>.</w:t>
      </w:r>
      <w:r w:rsidR="00495093">
        <w:rPr>
          <w:rFonts w:cstheme="minorHAnsi"/>
          <w:bCs/>
        </w:rPr>
        <w:t xml:space="preserve"> te projekcij</w:t>
      </w:r>
      <w:r w:rsidR="008F2E0D">
        <w:rPr>
          <w:rFonts w:cstheme="minorHAnsi"/>
          <w:bCs/>
        </w:rPr>
        <w:t>ama</w:t>
      </w:r>
      <w:r w:rsidR="00495093">
        <w:rPr>
          <w:rFonts w:cstheme="minorHAnsi"/>
          <w:bCs/>
        </w:rPr>
        <w:t xml:space="preserve"> </w:t>
      </w:r>
      <w:r w:rsidR="00CF40FC">
        <w:rPr>
          <w:rFonts w:cstheme="minorHAnsi"/>
          <w:bCs/>
        </w:rPr>
        <w:t xml:space="preserve">istog </w:t>
      </w:r>
      <w:r w:rsidR="00495093">
        <w:rPr>
          <w:rFonts w:cstheme="minorHAnsi"/>
          <w:bCs/>
        </w:rPr>
        <w:t>do kraja godine.</w:t>
      </w:r>
      <w:r w:rsidR="008F2E0D">
        <w:rPr>
          <w:rFonts w:cstheme="minorHAnsi"/>
          <w:bCs/>
        </w:rPr>
        <w:t xml:space="preserve"> Povećanje na IF 71 planirano je u iznosu 31.250 EUR osnovom izvršenog </w:t>
      </w:r>
      <w:r w:rsidR="00193EE2">
        <w:rPr>
          <w:rFonts w:cstheme="minorHAnsi"/>
          <w:bCs/>
        </w:rPr>
        <w:t>za</w:t>
      </w:r>
      <w:r w:rsidR="008F2E0D">
        <w:rPr>
          <w:rFonts w:cstheme="minorHAnsi"/>
          <w:bCs/>
        </w:rPr>
        <w:t xml:space="preserve"> refundacij</w:t>
      </w:r>
      <w:r w:rsidR="00193EE2">
        <w:rPr>
          <w:rFonts w:cstheme="minorHAnsi"/>
          <w:bCs/>
        </w:rPr>
        <w:t>u</w:t>
      </w:r>
      <w:r w:rsidR="008F2E0D">
        <w:rPr>
          <w:rFonts w:cstheme="minorHAnsi"/>
          <w:bCs/>
        </w:rPr>
        <w:t xml:space="preserve"> štete</w:t>
      </w:r>
      <w:r w:rsidR="00193EE2">
        <w:rPr>
          <w:rFonts w:cstheme="minorHAnsi"/>
          <w:bCs/>
        </w:rPr>
        <w:t>.</w:t>
      </w:r>
    </w:p>
    <w:p w14:paraId="7A9CE2E1" w14:textId="4A5AFFCE" w:rsidR="002B0038" w:rsidRPr="00F56C44" w:rsidRDefault="002B0038" w:rsidP="002B0038">
      <w:pPr>
        <w:spacing w:line="240" w:lineRule="auto"/>
        <w:jc w:val="both"/>
        <w:rPr>
          <w:rFonts w:cstheme="minorHAnsi"/>
          <w:bCs/>
        </w:rPr>
      </w:pPr>
      <w:r w:rsidRPr="00495093">
        <w:rPr>
          <w:rFonts w:cstheme="minorHAnsi"/>
          <w:bCs/>
        </w:rPr>
        <w:t xml:space="preserve">Prihodi skupine 66 Prihodi od prodaje proizvoda i robe, te pruženih usluga i prihodi od donacija </w:t>
      </w:r>
      <w:r w:rsidR="00DD6445" w:rsidRPr="00495093">
        <w:rPr>
          <w:rFonts w:cstheme="minorHAnsi"/>
          <w:bCs/>
        </w:rPr>
        <w:t xml:space="preserve">povećavaju se za </w:t>
      </w:r>
      <w:r w:rsidR="00D37850">
        <w:rPr>
          <w:rFonts w:cstheme="minorHAnsi"/>
          <w:bCs/>
        </w:rPr>
        <w:t>1.337.767</w:t>
      </w:r>
      <w:r w:rsidR="00DD6445" w:rsidRPr="00495093">
        <w:rPr>
          <w:rFonts w:cstheme="minorHAnsi"/>
          <w:bCs/>
        </w:rPr>
        <w:t xml:space="preserve"> EUR, te iznose </w:t>
      </w:r>
      <w:r w:rsidR="00D37850">
        <w:rPr>
          <w:rFonts w:cstheme="minorHAnsi"/>
          <w:bCs/>
        </w:rPr>
        <w:t>3.509.767</w:t>
      </w:r>
      <w:r w:rsidR="00DD6445" w:rsidRPr="00495093">
        <w:rPr>
          <w:rFonts w:cstheme="minorHAnsi"/>
          <w:bCs/>
        </w:rPr>
        <w:t xml:space="preserve"> EUR. </w:t>
      </w:r>
      <w:r w:rsidR="00DD6445" w:rsidRPr="00F56C44">
        <w:rPr>
          <w:rFonts w:cstheme="minorHAnsi"/>
          <w:bCs/>
        </w:rPr>
        <w:t xml:space="preserve">Povećanje je planirano na </w:t>
      </w:r>
      <w:r w:rsidR="00495093" w:rsidRPr="00F56C44">
        <w:rPr>
          <w:rFonts w:cstheme="minorHAnsi"/>
          <w:bCs/>
        </w:rPr>
        <w:t xml:space="preserve">IF 31 </w:t>
      </w:r>
      <w:r w:rsidR="00215E4B" w:rsidRPr="00F56C44">
        <w:rPr>
          <w:rFonts w:cstheme="minorHAnsi"/>
          <w:bCs/>
        </w:rPr>
        <w:t xml:space="preserve">za </w:t>
      </w:r>
      <w:r w:rsidR="00D37850">
        <w:rPr>
          <w:rFonts w:cstheme="minorHAnsi"/>
          <w:bCs/>
        </w:rPr>
        <w:t>1.105.267</w:t>
      </w:r>
      <w:r w:rsidR="00215E4B" w:rsidRPr="00F56C44">
        <w:rPr>
          <w:rFonts w:cstheme="minorHAnsi"/>
          <w:bCs/>
        </w:rPr>
        <w:t xml:space="preserve"> EUR </w:t>
      </w:r>
      <w:r w:rsidR="00495093" w:rsidRPr="00F56C44">
        <w:rPr>
          <w:rFonts w:cstheme="minorHAnsi"/>
          <w:bCs/>
        </w:rPr>
        <w:t>osnovom</w:t>
      </w:r>
      <w:r w:rsidR="00215E4B" w:rsidRPr="00F56C44">
        <w:rPr>
          <w:rFonts w:cstheme="minorHAnsi"/>
          <w:bCs/>
        </w:rPr>
        <w:t xml:space="preserve"> izvršenog na pozicijama prihoda od prodaje roba i usluga</w:t>
      </w:r>
      <w:r w:rsidR="00F56C44" w:rsidRPr="00F56C44">
        <w:rPr>
          <w:rFonts w:cstheme="minorHAnsi"/>
          <w:bCs/>
        </w:rPr>
        <w:t>, te projekcijom istog do kraja godine.</w:t>
      </w:r>
      <w:r w:rsidR="00215E4B" w:rsidRPr="00F56C44">
        <w:rPr>
          <w:rFonts w:cstheme="minorHAnsi"/>
          <w:bCs/>
        </w:rPr>
        <w:t xml:space="preserve">  Povećanje</w:t>
      </w:r>
      <w:r w:rsidR="00495093" w:rsidRPr="00F56C44">
        <w:rPr>
          <w:rFonts w:cstheme="minorHAnsi"/>
          <w:bCs/>
        </w:rPr>
        <w:t xml:space="preserve"> </w:t>
      </w:r>
      <w:r w:rsidR="00DD6445" w:rsidRPr="00F56C44">
        <w:rPr>
          <w:rFonts w:cstheme="minorHAnsi"/>
          <w:bCs/>
        </w:rPr>
        <w:t xml:space="preserve">IF 61 </w:t>
      </w:r>
      <w:r w:rsidR="00215E4B" w:rsidRPr="00F56C44">
        <w:rPr>
          <w:rFonts w:cstheme="minorHAnsi"/>
          <w:bCs/>
        </w:rPr>
        <w:t xml:space="preserve">za </w:t>
      </w:r>
      <w:r w:rsidR="00674235">
        <w:rPr>
          <w:rFonts w:cstheme="minorHAnsi"/>
          <w:bCs/>
        </w:rPr>
        <w:t>232.500</w:t>
      </w:r>
      <w:r w:rsidR="00215E4B" w:rsidRPr="00F56C44">
        <w:rPr>
          <w:rFonts w:cstheme="minorHAnsi"/>
          <w:bCs/>
        </w:rPr>
        <w:t xml:space="preserve"> </w:t>
      </w:r>
      <w:r w:rsidR="00F56C44">
        <w:rPr>
          <w:rFonts w:cstheme="minorHAnsi"/>
          <w:bCs/>
        </w:rPr>
        <w:t xml:space="preserve">EUR </w:t>
      </w:r>
      <w:r w:rsidR="00215E4B" w:rsidRPr="00F56C44">
        <w:rPr>
          <w:rFonts w:cstheme="minorHAnsi"/>
          <w:bCs/>
        </w:rPr>
        <w:t xml:space="preserve">za osnovu ima </w:t>
      </w:r>
      <w:proofErr w:type="spellStart"/>
      <w:r w:rsidR="00F56C44" w:rsidRPr="00F56C44">
        <w:rPr>
          <w:rFonts w:cstheme="minorHAnsi"/>
          <w:bCs/>
        </w:rPr>
        <w:t>uskladu</w:t>
      </w:r>
      <w:proofErr w:type="spellEnd"/>
      <w:r w:rsidR="00F56C44" w:rsidRPr="00F56C44">
        <w:rPr>
          <w:rFonts w:cstheme="minorHAnsi"/>
          <w:bCs/>
        </w:rPr>
        <w:t xml:space="preserve"> sa izvršen</w:t>
      </w:r>
      <w:r w:rsidR="00F56C44">
        <w:rPr>
          <w:rFonts w:cstheme="minorHAnsi"/>
          <w:bCs/>
        </w:rPr>
        <w:t>im</w:t>
      </w:r>
      <w:r w:rsidR="00F56C44" w:rsidRPr="00F56C44">
        <w:rPr>
          <w:rFonts w:cstheme="minorHAnsi"/>
          <w:bCs/>
        </w:rPr>
        <w:t xml:space="preserve"> </w:t>
      </w:r>
      <w:r w:rsidR="00DD6445" w:rsidRPr="00F56C44">
        <w:rPr>
          <w:rFonts w:cstheme="minorHAnsi"/>
          <w:bCs/>
        </w:rPr>
        <w:t>prihod</w:t>
      </w:r>
      <w:r w:rsidR="00F56C44">
        <w:rPr>
          <w:rFonts w:cstheme="minorHAnsi"/>
          <w:bCs/>
        </w:rPr>
        <w:t>ima</w:t>
      </w:r>
      <w:r w:rsidR="00DD6445" w:rsidRPr="00F56C44">
        <w:rPr>
          <w:rFonts w:cstheme="minorHAnsi"/>
          <w:bCs/>
        </w:rPr>
        <w:t xml:space="preserve"> od tekućih </w:t>
      </w:r>
      <w:r w:rsidR="00F56C44" w:rsidRPr="00F56C44">
        <w:rPr>
          <w:rFonts w:cstheme="minorHAnsi"/>
          <w:bCs/>
        </w:rPr>
        <w:t>i kapitalnih donacija.</w:t>
      </w:r>
      <w:r w:rsidR="00DD6445" w:rsidRPr="00F56C44">
        <w:rPr>
          <w:rFonts w:cstheme="minorHAnsi"/>
          <w:bCs/>
        </w:rPr>
        <w:t xml:space="preserve"> </w:t>
      </w:r>
    </w:p>
    <w:p w14:paraId="0244CBB8" w14:textId="4A46F3EA" w:rsidR="00116FB9" w:rsidRPr="009A73E5" w:rsidRDefault="002B0038" w:rsidP="00116FB9">
      <w:pPr>
        <w:spacing w:line="240" w:lineRule="auto"/>
        <w:jc w:val="both"/>
        <w:rPr>
          <w:rFonts w:cstheme="minorHAnsi"/>
          <w:bCs/>
          <w:highlight w:val="yellow"/>
        </w:rPr>
      </w:pPr>
      <w:r w:rsidRPr="00786B73">
        <w:rPr>
          <w:rFonts w:cstheme="minorHAnsi"/>
          <w:bCs/>
        </w:rPr>
        <w:t xml:space="preserve">Prihodi skupine 67 Prihodi iz nadležnog proračuna i od HZZO-a temeljem ugovornih obveza </w:t>
      </w:r>
      <w:r w:rsidR="00DD6445" w:rsidRPr="00786B73">
        <w:rPr>
          <w:rFonts w:cstheme="minorHAnsi"/>
          <w:bCs/>
        </w:rPr>
        <w:t xml:space="preserve">povećavaju se za </w:t>
      </w:r>
      <w:r w:rsidR="00116FB9">
        <w:rPr>
          <w:rFonts w:cstheme="minorHAnsi"/>
          <w:bCs/>
        </w:rPr>
        <w:t>7.570.444</w:t>
      </w:r>
      <w:r w:rsidR="00DD6445" w:rsidRPr="00786B73">
        <w:rPr>
          <w:rFonts w:cstheme="minorHAnsi"/>
          <w:bCs/>
        </w:rPr>
        <w:t xml:space="preserve"> EUR, te iznose </w:t>
      </w:r>
      <w:r w:rsidR="00116FB9">
        <w:rPr>
          <w:rFonts w:cstheme="minorHAnsi"/>
          <w:bCs/>
        </w:rPr>
        <w:t>221.271.695</w:t>
      </w:r>
      <w:r w:rsidR="00DD6445" w:rsidRPr="00786B73">
        <w:rPr>
          <w:rFonts w:cstheme="minorHAnsi"/>
          <w:bCs/>
        </w:rPr>
        <w:t xml:space="preserve"> EUR. </w:t>
      </w:r>
      <w:r w:rsidR="00562D68" w:rsidRPr="00786B73">
        <w:rPr>
          <w:rFonts w:cstheme="minorHAnsi"/>
          <w:bCs/>
        </w:rPr>
        <w:t xml:space="preserve"> Pri tome je  IF 11 </w:t>
      </w:r>
      <w:r w:rsidR="00116FB9">
        <w:rPr>
          <w:rFonts w:cstheme="minorHAnsi"/>
          <w:bCs/>
        </w:rPr>
        <w:t>smanjen za 620.239 EUR, IF 43 povećan je za 7.764.175 EUR</w:t>
      </w:r>
      <w:r w:rsidR="00116FB9" w:rsidRPr="00116FB9">
        <w:rPr>
          <w:rFonts w:cstheme="minorHAnsi"/>
          <w:bCs/>
        </w:rPr>
        <w:t xml:space="preserve"> </w:t>
      </w:r>
      <w:r w:rsidR="00116FB9" w:rsidRPr="00786B73">
        <w:rPr>
          <w:rFonts w:cstheme="minorHAnsi"/>
          <w:bCs/>
        </w:rPr>
        <w:t xml:space="preserve">osnovom povećanja prihoda od HZZO-a </w:t>
      </w:r>
      <w:r w:rsidR="00116FB9">
        <w:rPr>
          <w:rFonts w:cstheme="minorHAnsi"/>
          <w:bCs/>
        </w:rPr>
        <w:t>uslijed</w:t>
      </w:r>
      <w:r w:rsidR="00116FB9" w:rsidRPr="00786B73">
        <w:rPr>
          <w:rFonts w:cstheme="minorHAnsi"/>
          <w:bCs/>
        </w:rPr>
        <w:t xml:space="preserve"> </w:t>
      </w:r>
      <w:r w:rsidR="00116FB9">
        <w:rPr>
          <w:rFonts w:cstheme="minorHAnsi"/>
          <w:bCs/>
        </w:rPr>
        <w:t xml:space="preserve">povećanja mjesečnih limita, IF 581 povećan je za 426.508 EUR </w:t>
      </w:r>
      <w:r w:rsidR="00116FB9" w:rsidRPr="00116FB9">
        <w:rPr>
          <w:rFonts w:cstheme="minorHAnsi"/>
          <w:bCs/>
        </w:rPr>
        <w:t xml:space="preserve">osnovom Ugovora o dodjeli bespovratnih sredstava za specijalističko usavršavanje </w:t>
      </w:r>
      <w:proofErr w:type="spellStart"/>
      <w:r w:rsidR="00116FB9" w:rsidRPr="00116FB9">
        <w:rPr>
          <w:rFonts w:cstheme="minorHAnsi"/>
          <w:bCs/>
        </w:rPr>
        <w:t>prvostupnika</w:t>
      </w:r>
      <w:proofErr w:type="spellEnd"/>
      <w:r w:rsidR="00116FB9" w:rsidRPr="00116FB9">
        <w:rPr>
          <w:rFonts w:cstheme="minorHAnsi"/>
          <w:bCs/>
        </w:rPr>
        <w:t xml:space="preserve"> sestrinstva u djelatnosti hitne medicine NPOO.C5,1,R3-12.01.0078) od 02.07.2025</w:t>
      </w:r>
      <w:r w:rsidR="00116FB9">
        <w:rPr>
          <w:rFonts w:cstheme="minorHAnsi"/>
          <w:bCs/>
        </w:rPr>
        <w:t xml:space="preserve"> </w:t>
      </w:r>
      <w:r w:rsidR="000C2EC7">
        <w:rPr>
          <w:rFonts w:cstheme="minorHAnsi"/>
          <w:bCs/>
        </w:rPr>
        <w:t>u</w:t>
      </w:r>
      <w:r w:rsidR="00116FB9">
        <w:rPr>
          <w:rFonts w:cstheme="minorHAnsi"/>
          <w:bCs/>
        </w:rPr>
        <w:t xml:space="preserve"> iznosu 155.799 EUR, te VTR za smještaj linearnih akceleratora </w:t>
      </w:r>
      <w:r w:rsidR="006802C9">
        <w:rPr>
          <w:rFonts w:cstheme="minorHAnsi"/>
          <w:bCs/>
        </w:rPr>
        <w:t>u iznosu 270.709 EUR.</w:t>
      </w:r>
    </w:p>
    <w:p w14:paraId="1E2A63D4" w14:textId="433D95C4" w:rsidR="002B0038" w:rsidRPr="002D1C91" w:rsidRDefault="002B0038" w:rsidP="002B0038">
      <w:pPr>
        <w:spacing w:line="240" w:lineRule="auto"/>
        <w:jc w:val="both"/>
        <w:rPr>
          <w:rFonts w:cstheme="minorHAnsi"/>
          <w:bCs/>
        </w:rPr>
      </w:pPr>
      <w:r w:rsidRPr="002D1C91">
        <w:rPr>
          <w:rFonts w:cstheme="minorHAnsi"/>
          <w:bCs/>
        </w:rPr>
        <w:t xml:space="preserve">Prihodi skupine 68 Kazne, upravne mjere i ostali prihodi </w:t>
      </w:r>
      <w:r w:rsidR="006802C9">
        <w:rPr>
          <w:rFonts w:cstheme="minorHAnsi"/>
          <w:bCs/>
        </w:rPr>
        <w:t>smanjeni su za 108.000 EUR</w:t>
      </w:r>
      <w:r w:rsidR="002D1C91" w:rsidRPr="002D1C91">
        <w:rPr>
          <w:rFonts w:cstheme="minorHAnsi"/>
          <w:bCs/>
        </w:rPr>
        <w:t xml:space="preserve">, te iznose </w:t>
      </w:r>
      <w:r w:rsidR="006802C9">
        <w:rPr>
          <w:rFonts w:cstheme="minorHAnsi"/>
          <w:bCs/>
        </w:rPr>
        <w:t>32.000</w:t>
      </w:r>
      <w:r w:rsidR="002D1C91" w:rsidRPr="002D1C91">
        <w:rPr>
          <w:rFonts w:cstheme="minorHAnsi"/>
          <w:bCs/>
        </w:rPr>
        <w:t xml:space="preserve"> EUR. </w:t>
      </w:r>
      <w:r w:rsidR="00193EE2">
        <w:rPr>
          <w:rFonts w:cstheme="minorHAnsi"/>
          <w:bCs/>
        </w:rPr>
        <w:t xml:space="preserve">Smanjenje </w:t>
      </w:r>
      <w:r w:rsidR="002D1C91" w:rsidRPr="002D1C91">
        <w:rPr>
          <w:rFonts w:cstheme="minorHAnsi"/>
          <w:bCs/>
        </w:rPr>
        <w:t>je u cijelosti na IF 43 osnovom usklade sa izvršenim na poziciji Ostali prihodi.</w:t>
      </w:r>
    </w:p>
    <w:p w14:paraId="5B448EA9" w14:textId="52C5BB30" w:rsidR="002B0038" w:rsidRPr="002D1C91" w:rsidRDefault="002B0038" w:rsidP="002B0038">
      <w:pPr>
        <w:spacing w:line="240" w:lineRule="auto"/>
        <w:jc w:val="both"/>
        <w:rPr>
          <w:rFonts w:cstheme="minorHAnsi"/>
          <w:bCs/>
        </w:rPr>
      </w:pPr>
      <w:r w:rsidRPr="002D1C91">
        <w:rPr>
          <w:rFonts w:cstheme="minorHAnsi"/>
          <w:bCs/>
        </w:rPr>
        <w:t>Prihodi skupine 7</w:t>
      </w:r>
      <w:r w:rsidR="00193EE2">
        <w:rPr>
          <w:rFonts w:cstheme="minorHAnsi"/>
          <w:bCs/>
        </w:rPr>
        <w:t>2</w:t>
      </w:r>
      <w:r w:rsidRPr="002D1C91">
        <w:rPr>
          <w:rFonts w:cstheme="minorHAnsi"/>
          <w:bCs/>
        </w:rPr>
        <w:t xml:space="preserve"> Prihodi od prodaje proizvedene dugotrajne</w:t>
      </w:r>
      <w:r w:rsidR="002D1C91" w:rsidRPr="002D1C91">
        <w:rPr>
          <w:rFonts w:cstheme="minorHAnsi"/>
          <w:bCs/>
        </w:rPr>
        <w:t xml:space="preserve"> povećavaju se za </w:t>
      </w:r>
      <w:r w:rsidR="00193EE2">
        <w:rPr>
          <w:rFonts w:cstheme="minorHAnsi"/>
          <w:bCs/>
        </w:rPr>
        <w:t>4.400</w:t>
      </w:r>
      <w:r w:rsidR="002D1C91" w:rsidRPr="002D1C91">
        <w:rPr>
          <w:rFonts w:cstheme="minorHAnsi"/>
          <w:bCs/>
        </w:rPr>
        <w:t xml:space="preserve"> EUR, te iznose </w:t>
      </w:r>
      <w:r w:rsidR="00193EE2">
        <w:rPr>
          <w:rFonts w:cstheme="minorHAnsi"/>
          <w:bCs/>
        </w:rPr>
        <w:t>5.168</w:t>
      </w:r>
      <w:r w:rsidR="002D1C91" w:rsidRPr="002D1C91">
        <w:rPr>
          <w:rFonts w:cstheme="minorHAnsi"/>
          <w:bCs/>
        </w:rPr>
        <w:t xml:space="preserve"> EUR osnovom usklade sa izvršenim na poziciji </w:t>
      </w:r>
      <w:r w:rsidR="00193EE2">
        <w:rPr>
          <w:rFonts w:cstheme="minorHAnsi"/>
          <w:bCs/>
        </w:rPr>
        <w:t>Osobni automobili IF 71</w:t>
      </w:r>
      <w:r w:rsidR="002D1C91" w:rsidRPr="002D1C91">
        <w:rPr>
          <w:rFonts w:cstheme="minorHAnsi"/>
          <w:bCs/>
        </w:rPr>
        <w:t>.</w:t>
      </w:r>
      <w:r w:rsidRPr="002D1C91">
        <w:rPr>
          <w:rFonts w:cstheme="minorHAnsi"/>
          <w:bCs/>
        </w:rPr>
        <w:t xml:space="preserve"> </w:t>
      </w:r>
      <w:r w:rsidR="00562D68" w:rsidRPr="002D1C91">
        <w:rPr>
          <w:rFonts w:cstheme="minorHAnsi"/>
          <w:bCs/>
        </w:rPr>
        <w:t xml:space="preserve"> </w:t>
      </w:r>
    </w:p>
    <w:p w14:paraId="7021D0A5" w14:textId="175C8245" w:rsidR="002B0038" w:rsidRPr="00BD2618" w:rsidRDefault="002B0038" w:rsidP="002B0038">
      <w:pPr>
        <w:spacing w:line="240" w:lineRule="auto"/>
        <w:jc w:val="both"/>
        <w:rPr>
          <w:rFonts w:cstheme="minorHAnsi"/>
          <w:bCs/>
        </w:rPr>
      </w:pPr>
      <w:bookmarkStart w:id="3" w:name="_Hlk116644183"/>
      <w:r w:rsidRPr="009A73E5">
        <w:rPr>
          <w:rFonts w:cstheme="minorHAnsi"/>
          <w:bCs/>
        </w:rPr>
        <w:t>U razdoblju 202</w:t>
      </w:r>
      <w:r w:rsidR="00193EE2">
        <w:rPr>
          <w:rFonts w:cstheme="minorHAnsi"/>
          <w:bCs/>
        </w:rPr>
        <w:t>5</w:t>
      </w:r>
      <w:r w:rsidR="00562D68" w:rsidRPr="009A73E5">
        <w:rPr>
          <w:rFonts w:cstheme="minorHAnsi"/>
          <w:bCs/>
        </w:rPr>
        <w:t xml:space="preserve">. </w:t>
      </w:r>
      <w:r w:rsidRPr="009A73E5">
        <w:rPr>
          <w:rFonts w:cstheme="minorHAnsi"/>
          <w:bCs/>
        </w:rPr>
        <w:t>nisu planirani primici.</w:t>
      </w:r>
    </w:p>
    <w:bookmarkEnd w:id="3"/>
    <w:p w14:paraId="3E7A2D7D" w14:textId="77777777" w:rsidR="005B5398" w:rsidRPr="00033CD0" w:rsidRDefault="005B5398" w:rsidP="002B0038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702FDFEF" w14:textId="77777777" w:rsidR="002B0038" w:rsidRPr="00033CD0" w:rsidRDefault="002B0038" w:rsidP="002B0038">
      <w:pPr>
        <w:spacing w:line="240" w:lineRule="auto"/>
        <w:jc w:val="both"/>
        <w:rPr>
          <w:rFonts w:cstheme="minorHAnsi"/>
          <w:b/>
          <w:sz w:val="24"/>
          <w:szCs w:val="24"/>
        </w:rPr>
      </w:pPr>
      <w:bookmarkStart w:id="4" w:name="_Hlk116026473"/>
      <w:r w:rsidRPr="00E7124E">
        <w:rPr>
          <w:rFonts w:cstheme="minorHAnsi"/>
          <w:b/>
          <w:sz w:val="24"/>
          <w:szCs w:val="24"/>
        </w:rPr>
        <w:t>RASHODI I IZDACI</w:t>
      </w:r>
    </w:p>
    <w:bookmarkEnd w:id="4"/>
    <w:p w14:paraId="77AED79F" w14:textId="082A714C" w:rsidR="002B0038" w:rsidRDefault="002B0038" w:rsidP="002B0038">
      <w:pPr>
        <w:spacing w:line="240" w:lineRule="auto"/>
        <w:jc w:val="both"/>
        <w:rPr>
          <w:rFonts w:cstheme="minorHAnsi"/>
          <w:bCs/>
        </w:rPr>
      </w:pPr>
      <w:r w:rsidRPr="004A0CC8">
        <w:rPr>
          <w:rFonts w:cstheme="minorHAnsi"/>
          <w:bCs/>
        </w:rPr>
        <w:t>Ukupni rashodi za 202</w:t>
      </w:r>
      <w:r w:rsidR="000300E2">
        <w:rPr>
          <w:rFonts w:cstheme="minorHAnsi"/>
          <w:bCs/>
        </w:rPr>
        <w:t>5</w:t>
      </w:r>
      <w:r w:rsidRPr="004A0CC8">
        <w:rPr>
          <w:rFonts w:cstheme="minorHAnsi"/>
          <w:bCs/>
        </w:rPr>
        <w:t xml:space="preserve">. </w:t>
      </w:r>
      <w:r w:rsidR="00385D6F" w:rsidRPr="004A0CC8">
        <w:rPr>
          <w:rFonts w:cstheme="minorHAnsi"/>
          <w:bCs/>
        </w:rPr>
        <w:t xml:space="preserve">povećavaju se za </w:t>
      </w:r>
      <w:r w:rsidR="00E7124E">
        <w:rPr>
          <w:rFonts w:cstheme="minorHAnsi"/>
          <w:bCs/>
        </w:rPr>
        <w:t>12.145.100</w:t>
      </w:r>
      <w:r w:rsidR="00100DA2">
        <w:rPr>
          <w:rFonts w:cstheme="minorHAnsi"/>
          <w:bCs/>
        </w:rPr>
        <w:t xml:space="preserve"> ili </w:t>
      </w:r>
      <w:r w:rsidR="00E7124E">
        <w:rPr>
          <w:rFonts w:cstheme="minorHAnsi"/>
          <w:bCs/>
        </w:rPr>
        <w:t>5</w:t>
      </w:r>
      <w:r w:rsidR="00100DA2">
        <w:rPr>
          <w:rFonts w:cstheme="minorHAnsi"/>
          <w:bCs/>
        </w:rPr>
        <w:t>%</w:t>
      </w:r>
      <w:r w:rsidR="004A0CC8" w:rsidRPr="004A0CC8">
        <w:rPr>
          <w:rFonts w:cstheme="minorHAnsi"/>
          <w:bCs/>
        </w:rPr>
        <w:t xml:space="preserve">, te iznose </w:t>
      </w:r>
      <w:r w:rsidR="00E7124E">
        <w:rPr>
          <w:rFonts w:cstheme="minorHAnsi"/>
          <w:bCs/>
        </w:rPr>
        <w:t>241.345.956</w:t>
      </w:r>
      <w:r w:rsidR="004A0CC8" w:rsidRPr="004A0CC8">
        <w:rPr>
          <w:rFonts w:cstheme="minorHAnsi"/>
          <w:bCs/>
        </w:rPr>
        <w:t xml:space="preserve"> EUR. </w:t>
      </w:r>
    </w:p>
    <w:p w14:paraId="79DE1D9F" w14:textId="6C7E612E" w:rsidR="00100DA2" w:rsidRPr="00626E04" w:rsidRDefault="00100DA2" w:rsidP="00100DA2">
      <w:pPr>
        <w:jc w:val="both"/>
        <w:rPr>
          <w:rFonts w:cstheme="minorHAnsi"/>
          <w:bCs/>
        </w:rPr>
      </w:pPr>
      <w:r w:rsidRPr="00626E04">
        <w:rPr>
          <w:rFonts w:cstheme="minorHAnsi"/>
          <w:bCs/>
        </w:rPr>
        <w:t xml:space="preserve">Rashodi poslovanja povećavaju se za </w:t>
      </w:r>
      <w:r w:rsidR="00E7124E">
        <w:rPr>
          <w:rFonts w:cstheme="minorHAnsi"/>
          <w:bCs/>
        </w:rPr>
        <w:t>8.</w:t>
      </w:r>
      <w:r w:rsidR="008353B7">
        <w:rPr>
          <w:rFonts w:cstheme="minorHAnsi"/>
          <w:bCs/>
        </w:rPr>
        <w:t>8</w:t>
      </w:r>
      <w:r w:rsidR="00E7124E">
        <w:rPr>
          <w:rFonts w:cstheme="minorHAnsi"/>
          <w:bCs/>
        </w:rPr>
        <w:t>81.390</w:t>
      </w:r>
      <w:r w:rsidRPr="00626E04">
        <w:rPr>
          <w:rFonts w:cstheme="minorHAnsi"/>
          <w:bCs/>
        </w:rPr>
        <w:t xml:space="preserve"> EUR ili </w:t>
      </w:r>
      <w:r w:rsidR="00E7124E">
        <w:rPr>
          <w:rFonts w:cstheme="minorHAnsi"/>
          <w:bCs/>
        </w:rPr>
        <w:t xml:space="preserve">4%, </w:t>
      </w:r>
      <w:r w:rsidRPr="00626E04">
        <w:rPr>
          <w:rFonts w:cstheme="minorHAnsi"/>
          <w:bCs/>
        </w:rPr>
        <w:t xml:space="preserve"> te iznose </w:t>
      </w:r>
      <w:r w:rsidR="00626E04" w:rsidRPr="00626E04">
        <w:rPr>
          <w:rFonts w:cstheme="minorHAnsi"/>
          <w:bCs/>
        </w:rPr>
        <w:t>2</w:t>
      </w:r>
      <w:r w:rsidR="00E7124E">
        <w:rPr>
          <w:rFonts w:cstheme="minorHAnsi"/>
          <w:bCs/>
        </w:rPr>
        <w:t>30.267.281</w:t>
      </w:r>
      <w:r w:rsidRPr="00626E04">
        <w:rPr>
          <w:rFonts w:cstheme="minorHAnsi"/>
          <w:bCs/>
        </w:rPr>
        <w:t xml:space="preserve"> EUR. </w:t>
      </w:r>
    </w:p>
    <w:p w14:paraId="1B7DC068" w14:textId="2E864A3F" w:rsidR="00100DA2" w:rsidRPr="000503FC" w:rsidRDefault="00007F69" w:rsidP="00BB5367">
      <w:pPr>
        <w:spacing w:line="240" w:lineRule="auto"/>
        <w:jc w:val="both"/>
        <w:rPr>
          <w:rFonts w:cstheme="minorHAnsi"/>
          <w:bCs/>
        </w:rPr>
      </w:pPr>
      <w:r w:rsidRPr="00764BB6">
        <w:rPr>
          <w:rFonts w:cstheme="minorHAnsi"/>
          <w:bCs/>
        </w:rPr>
        <w:t>F</w:t>
      </w:r>
      <w:r w:rsidR="00100DA2" w:rsidRPr="00764BB6">
        <w:rPr>
          <w:rFonts w:cstheme="minorHAnsi"/>
          <w:bCs/>
        </w:rPr>
        <w:t xml:space="preserve">inancijski najznačajnije povećanje od </w:t>
      </w:r>
      <w:r w:rsidR="00764BB6" w:rsidRPr="00764BB6">
        <w:rPr>
          <w:rFonts w:cstheme="minorHAnsi"/>
          <w:bCs/>
        </w:rPr>
        <w:t>3.766.111</w:t>
      </w:r>
      <w:r w:rsidR="00100DA2" w:rsidRPr="00764BB6">
        <w:rPr>
          <w:rFonts w:cstheme="minorHAnsi"/>
          <w:bCs/>
        </w:rPr>
        <w:t xml:space="preserve"> EUR odnosi na </w:t>
      </w:r>
      <w:r w:rsidR="009F34D6" w:rsidRPr="00764BB6">
        <w:rPr>
          <w:rFonts w:cstheme="minorHAnsi"/>
          <w:bCs/>
        </w:rPr>
        <w:t xml:space="preserve">Materijalne rashode </w:t>
      </w:r>
      <w:r w:rsidR="00663EA0" w:rsidRPr="00764BB6">
        <w:rPr>
          <w:rFonts w:cstheme="minorHAnsi"/>
          <w:bCs/>
        </w:rPr>
        <w:t xml:space="preserve">(lijekovi, </w:t>
      </w:r>
      <w:r w:rsidR="00764BB6" w:rsidRPr="00764BB6">
        <w:rPr>
          <w:rFonts w:cstheme="minorHAnsi"/>
          <w:bCs/>
        </w:rPr>
        <w:t>materijal za tekuće i investicijsko održavanje, komunalne usluge, intelektualne i osobne usluge, zdravstvene usluge, usluge promidžbe i informiranja, troškov</w:t>
      </w:r>
      <w:r w:rsidR="000C2EC7">
        <w:rPr>
          <w:rFonts w:cstheme="minorHAnsi"/>
          <w:bCs/>
        </w:rPr>
        <w:t>e</w:t>
      </w:r>
      <w:r w:rsidR="00764BB6" w:rsidRPr="00764BB6">
        <w:rPr>
          <w:rFonts w:cstheme="minorHAnsi"/>
          <w:bCs/>
        </w:rPr>
        <w:t xml:space="preserve"> sudskih postupaka</w:t>
      </w:r>
      <w:r w:rsidR="00663EA0" w:rsidRPr="00BB5367">
        <w:rPr>
          <w:rFonts w:cstheme="minorHAnsi"/>
          <w:bCs/>
        </w:rPr>
        <w:t xml:space="preserve">).  </w:t>
      </w:r>
      <w:r w:rsidR="00100DA2" w:rsidRPr="00BB5367">
        <w:rPr>
          <w:rFonts w:cstheme="minorHAnsi"/>
          <w:bCs/>
        </w:rPr>
        <w:t>Rashod</w:t>
      </w:r>
      <w:r w:rsidR="00663EA0" w:rsidRPr="00BB5367">
        <w:rPr>
          <w:rFonts w:cstheme="minorHAnsi"/>
          <w:bCs/>
        </w:rPr>
        <w:t>i</w:t>
      </w:r>
      <w:r w:rsidR="00100DA2" w:rsidRPr="00BB5367">
        <w:rPr>
          <w:rFonts w:cstheme="minorHAnsi"/>
          <w:bCs/>
        </w:rPr>
        <w:t xml:space="preserve"> za zaposlene </w:t>
      </w:r>
      <w:r w:rsidR="00663EA0" w:rsidRPr="00BB5367">
        <w:rPr>
          <w:rFonts w:cstheme="minorHAnsi"/>
          <w:bCs/>
        </w:rPr>
        <w:t xml:space="preserve">povećavaju se za </w:t>
      </w:r>
      <w:r w:rsidR="00764BB6" w:rsidRPr="00BB5367">
        <w:rPr>
          <w:rFonts w:cstheme="minorHAnsi"/>
          <w:bCs/>
        </w:rPr>
        <w:t>3.087.880</w:t>
      </w:r>
      <w:r w:rsidR="00663EA0" w:rsidRPr="00BB5367">
        <w:rPr>
          <w:rFonts w:cstheme="minorHAnsi"/>
          <w:bCs/>
        </w:rPr>
        <w:t xml:space="preserve"> EUR </w:t>
      </w:r>
      <w:r w:rsidR="00BB5367" w:rsidRPr="00BB5367">
        <w:rPr>
          <w:rFonts w:cstheme="minorHAnsi"/>
          <w:bCs/>
        </w:rPr>
        <w:t xml:space="preserve"> najvećim dijelom zbog </w:t>
      </w:r>
      <w:r w:rsidR="00BB5367" w:rsidRPr="00BB5367">
        <w:t>povećanja osnovice za obračun plaća od  01.09.2025.g</w:t>
      </w:r>
      <w:r w:rsidR="00BB5367">
        <w:t xml:space="preserve">., te zbog projekta </w:t>
      </w:r>
      <w:r w:rsidR="000503FC">
        <w:t>„</w:t>
      </w:r>
      <w:r w:rsidR="00BB5367">
        <w:t xml:space="preserve">Specijalističko usavršavanje </w:t>
      </w:r>
      <w:proofErr w:type="spellStart"/>
      <w:r w:rsidR="00BB5367">
        <w:t>prvostupnika</w:t>
      </w:r>
      <w:proofErr w:type="spellEnd"/>
      <w:r w:rsidR="00BB5367">
        <w:t xml:space="preserve"> sestrinstva u djelatnosti hitne medicine</w:t>
      </w:r>
      <w:r w:rsidR="000503FC">
        <w:t>“ za koji je Ugovor o dodjeli bespovratnih sredstava potpisan 02.07.2025.</w:t>
      </w:r>
      <w:r w:rsidR="000C2EC7">
        <w:t xml:space="preserve"> </w:t>
      </w:r>
      <w:r w:rsidR="00663EA0" w:rsidRPr="000503FC">
        <w:rPr>
          <w:rFonts w:cstheme="minorHAnsi"/>
          <w:bCs/>
        </w:rPr>
        <w:t xml:space="preserve">Financijski rashodi </w:t>
      </w:r>
      <w:r w:rsidR="000503FC" w:rsidRPr="000503FC">
        <w:rPr>
          <w:rFonts w:cstheme="minorHAnsi"/>
          <w:bCs/>
        </w:rPr>
        <w:t>povećavaju se za 1.891.000 EUR</w:t>
      </w:r>
      <w:r w:rsidR="00663EA0" w:rsidRPr="000503FC">
        <w:rPr>
          <w:rFonts w:cstheme="minorHAnsi"/>
          <w:bCs/>
        </w:rPr>
        <w:t xml:space="preserve"> </w:t>
      </w:r>
      <w:r w:rsidR="0052086C" w:rsidRPr="000503FC">
        <w:rPr>
          <w:rFonts w:cstheme="minorHAnsi"/>
          <w:bCs/>
        </w:rPr>
        <w:t>na poziciji</w:t>
      </w:r>
      <w:r w:rsidR="00663EA0" w:rsidRPr="000503FC">
        <w:rPr>
          <w:rFonts w:cstheme="minorHAnsi"/>
          <w:bCs/>
        </w:rPr>
        <w:t xml:space="preserve"> zatezn</w:t>
      </w:r>
      <w:r w:rsidR="0052086C" w:rsidRPr="000503FC">
        <w:rPr>
          <w:rFonts w:cstheme="minorHAnsi"/>
          <w:bCs/>
        </w:rPr>
        <w:t>e</w:t>
      </w:r>
      <w:r w:rsidR="00663EA0" w:rsidRPr="000503FC">
        <w:rPr>
          <w:rFonts w:cstheme="minorHAnsi"/>
          <w:bCs/>
        </w:rPr>
        <w:t xml:space="preserve"> kamat</w:t>
      </w:r>
      <w:r w:rsidR="0052086C" w:rsidRPr="000503FC">
        <w:rPr>
          <w:rFonts w:cstheme="minorHAnsi"/>
          <w:bCs/>
        </w:rPr>
        <w:t>e</w:t>
      </w:r>
      <w:r w:rsidR="00663EA0" w:rsidRPr="000503FC">
        <w:rPr>
          <w:rFonts w:cstheme="minorHAnsi"/>
          <w:bCs/>
        </w:rPr>
        <w:t xml:space="preserve"> iz poslovnih odnosa. </w:t>
      </w:r>
      <w:r w:rsidR="00100DA2" w:rsidRPr="000503FC">
        <w:rPr>
          <w:rFonts w:cstheme="minorHAnsi"/>
          <w:bCs/>
        </w:rPr>
        <w:t xml:space="preserve">Ostali rashodi povećavaju se za </w:t>
      </w:r>
      <w:r w:rsidR="000503FC" w:rsidRPr="000503FC">
        <w:rPr>
          <w:rFonts w:cstheme="minorHAnsi"/>
          <w:bCs/>
        </w:rPr>
        <w:t>57.500</w:t>
      </w:r>
      <w:r w:rsidR="00100DA2" w:rsidRPr="000503FC">
        <w:rPr>
          <w:rFonts w:cstheme="minorHAnsi"/>
          <w:bCs/>
        </w:rPr>
        <w:t xml:space="preserve"> EUR osnovom </w:t>
      </w:r>
      <w:r w:rsidR="00663EA0" w:rsidRPr="000503FC">
        <w:rPr>
          <w:rFonts w:cstheme="minorHAnsi"/>
          <w:bCs/>
        </w:rPr>
        <w:t xml:space="preserve">usklade sa izvršenim na poziciji </w:t>
      </w:r>
      <w:r w:rsidR="00100DA2" w:rsidRPr="000503FC">
        <w:rPr>
          <w:rFonts w:cstheme="minorHAnsi"/>
          <w:bCs/>
        </w:rPr>
        <w:t xml:space="preserve">naknada štete pravnim i fizičkim osobama. </w:t>
      </w:r>
      <w:r w:rsidR="000503FC">
        <w:rPr>
          <w:rFonts w:cstheme="minorHAnsi"/>
          <w:bCs/>
        </w:rPr>
        <w:t xml:space="preserve">Naknade građanima i kućanstvima na temelju </w:t>
      </w:r>
      <w:r w:rsidR="000503FC">
        <w:rPr>
          <w:rFonts w:cstheme="minorHAnsi"/>
          <w:bCs/>
        </w:rPr>
        <w:lastRenderedPageBreak/>
        <w:t>osiguranje i druge naknade povećavaju se za 78.</w:t>
      </w:r>
      <w:r w:rsidR="000C2EC7">
        <w:rPr>
          <w:rFonts w:cstheme="minorHAnsi"/>
          <w:bCs/>
        </w:rPr>
        <w:t>899</w:t>
      </w:r>
      <w:r w:rsidR="000503FC">
        <w:rPr>
          <w:rFonts w:cstheme="minorHAnsi"/>
          <w:bCs/>
        </w:rPr>
        <w:t xml:space="preserve"> EUR osnovom usklade sa izvršenim na poziciji Stipendije i školarine.</w:t>
      </w:r>
    </w:p>
    <w:p w14:paraId="0EC71692" w14:textId="7F68B52B" w:rsidR="002B0038" w:rsidRDefault="002B0038" w:rsidP="002B0038">
      <w:pPr>
        <w:jc w:val="both"/>
        <w:rPr>
          <w:rFonts w:cstheme="minorHAnsi"/>
          <w:bCs/>
        </w:rPr>
      </w:pPr>
      <w:r w:rsidRPr="00E7124E">
        <w:rPr>
          <w:rFonts w:cstheme="minorHAnsi"/>
          <w:bCs/>
        </w:rPr>
        <w:t xml:space="preserve">Rashodi za nabavu nefinancijske imovine </w:t>
      </w:r>
      <w:r w:rsidR="004A0CC8" w:rsidRPr="00E7124E">
        <w:rPr>
          <w:rFonts w:cstheme="minorHAnsi"/>
          <w:bCs/>
        </w:rPr>
        <w:t xml:space="preserve">povećavaju se za </w:t>
      </w:r>
      <w:r w:rsidR="00E7124E" w:rsidRPr="00E7124E">
        <w:rPr>
          <w:rFonts w:cstheme="minorHAnsi"/>
          <w:bCs/>
        </w:rPr>
        <w:t>3.263.710</w:t>
      </w:r>
      <w:r w:rsidR="004A0CC8" w:rsidRPr="00E7124E">
        <w:rPr>
          <w:rFonts w:cstheme="minorHAnsi"/>
          <w:bCs/>
        </w:rPr>
        <w:t xml:space="preserve"> EUR</w:t>
      </w:r>
      <w:r w:rsidR="00CC1E0A" w:rsidRPr="00E7124E">
        <w:rPr>
          <w:rFonts w:cstheme="minorHAnsi"/>
          <w:bCs/>
        </w:rPr>
        <w:t xml:space="preserve"> ili </w:t>
      </w:r>
      <w:r w:rsidR="00E7124E" w:rsidRPr="00E7124E">
        <w:rPr>
          <w:rFonts w:cstheme="minorHAnsi"/>
          <w:bCs/>
        </w:rPr>
        <w:t>42</w:t>
      </w:r>
      <w:r w:rsidR="00CC1E0A" w:rsidRPr="00E7124E">
        <w:rPr>
          <w:rFonts w:cstheme="minorHAnsi"/>
          <w:bCs/>
        </w:rPr>
        <w:t>%</w:t>
      </w:r>
      <w:r w:rsidR="004A0CC8" w:rsidRPr="00E7124E">
        <w:rPr>
          <w:rFonts w:cstheme="minorHAnsi"/>
          <w:bCs/>
        </w:rPr>
        <w:t xml:space="preserve"> te iznose </w:t>
      </w:r>
      <w:r w:rsidR="00E7124E" w:rsidRPr="00E7124E">
        <w:rPr>
          <w:rFonts w:cstheme="minorHAnsi"/>
          <w:bCs/>
        </w:rPr>
        <w:t>11.078.675</w:t>
      </w:r>
      <w:r w:rsidR="004A0CC8" w:rsidRPr="00E7124E">
        <w:rPr>
          <w:rFonts w:cstheme="minorHAnsi"/>
          <w:bCs/>
        </w:rPr>
        <w:t xml:space="preserve"> EUR.</w:t>
      </w:r>
      <w:r w:rsidR="004A0CC8" w:rsidRPr="004A0CC8">
        <w:rPr>
          <w:rFonts w:cstheme="minorHAnsi"/>
          <w:bCs/>
        </w:rPr>
        <w:t xml:space="preserve"> </w:t>
      </w:r>
    </w:p>
    <w:p w14:paraId="7162FC32" w14:textId="7008225B" w:rsidR="005A77C4" w:rsidRDefault="005A77C4" w:rsidP="002B0038">
      <w:pPr>
        <w:jc w:val="both"/>
        <w:rPr>
          <w:rFonts w:cstheme="minorHAnsi"/>
          <w:bCs/>
        </w:rPr>
      </w:pPr>
      <w:r w:rsidRPr="00462D2C">
        <w:rPr>
          <w:rFonts w:cstheme="minorHAnsi"/>
          <w:bCs/>
        </w:rPr>
        <w:t xml:space="preserve">Financijski najznačajnije povećanje odnosi se na </w:t>
      </w:r>
      <w:r w:rsidR="007F571B" w:rsidRPr="00462D2C">
        <w:rPr>
          <w:rFonts w:cstheme="minorHAnsi"/>
          <w:bCs/>
        </w:rPr>
        <w:t>Rashod</w:t>
      </w:r>
      <w:r w:rsidR="00462D2C" w:rsidRPr="00462D2C">
        <w:rPr>
          <w:rFonts w:cstheme="minorHAnsi"/>
          <w:bCs/>
        </w:rPr>
        <w:t>e</w:t>
      </w:r>
      <w:r w:rsidR="007F571B" w:rsidRPr="00462D2C">
        <w:rPr>
          <w:rFonts w:cstheme="minorHAnsi"/>
          <w:bCs/>
        </w:rPr>
        <w:t xml:space="preserve"> za dodatna ulaganja na nefinancijskoj imovini </w:t>
      </w:r>
      <w:r w:rsidRPr="00462D2C">
        <w:rPr>
          <w:rFonts w:cstheme="minorHAnsi"/>
          <w:bCs/>
        </w:rPr>
        <w:t xml:space="preserve">u iznosi </w:t>
      </w:r>
      <w:r w:rsidR="00462D2C" w:rsidRPr="00462D2C">
        <w:rPr>
          <w:rFonts w:cstheme="minorHAnsi"/>
          <w:bCs/>
        </w:rPr>
        <w:t>2.873.860</w:t>
      </w:r>
      <w:r w:rsidRPr="00462D2C">
        <w:rPr>
          <w:rFonts w:cstheme="minorHAnsi"/>
          <w:bCs/>
        </w:rPr>
        <w:t xml:space="preserve"> EUR</w:t>
      </w:r>
      <w:r w:rsidR="00231AAC" w:rsidRPr="00462D2C">
        <w:rPr>
          <w:rFonts w:cstheme="minorHAnsi"/>
          <w:bCs/>
        </w:rPr>
        <w:t xml:space="preserve"> osnovom </w:t>
      </w:r>
      <w:r w:rsidR="00462D2C" w:rsidRPr="00462D2C">
        <w:rPr>
          <w:rFonts w:cstheme="minorHAnsi"/>
          <w:bCs/>
        </w:rPr>
        <w:t>dodatnih ulaganja na građevinskim objektima.</w:t>
      </w:r>
      <w:r w:rsidR="000C2EC7">
        <w:rPr>
          <w:rFonts w:cstheme="minorHAnsi"/>
          <w:bCs/>
        </w:rPr>
        <w:t xml:space="preserve"> </w:t>
      </w:r>
      <w:r w:rsidR="007F571B" w:rsidRPr="00462D2C">
        <w:rPr>
          <w:rFonts w:cstheme="minorHAnsi"/>
          <w:bCs/>
        </w:rPr>
        <w:t>Rashod</w:t>
      </w:r>
      <w:r w:rsidR="00462D2C" w:rsidRPr="00462D2C">
        <w:rPr>
          <w:rFonts w:cstheme="minorHAnsi"/>
          <w:bCs/>
        </w:rPr>
        <w:t>i</w:t>
      </w:r>
      <w:r w:rsidR="007F571B" w:rsidRPr="00462D2C">
        <w:rPr>
          <w:rFonts w:cstheme="minorHAnsi"/>
          <w:bCs/>
        </w:rPr>
        <w:t xml:space="preserve"> za nabavu </w:t>
      </w:r>
      <w:proofErr w:type="spellStart"/>
      <w:r w:rsidR="00462D2C" w:rsidRPr="00462D2C">
        <w:rPr>
          <w:rFonts w:cstheme="minorHAnsi"/>
          <w:bCs/>
        </w:rPr>
        <w:t>ne</w:t>
      </w:r>
      <w:r w:rsidR="007F571B" w:rsidRPr="00462D2C">
        <w:rPr>
          <w:rFonts w:cstheme="minorHAnsi"/>
          <w:bCs/>
        </w:rPr>
        <w:t>proizvedene</w:t>
      </w:r>
      <w:proofErr w:type="spellEnd"/>
      <w:r w:rsidR="007F571B" w:rsidRPr="00462D2C">
        <w:rPr>
          <w:rFonts w:cstheme="minorHAnsi"/>
          <w:bCs/>
        </w:rPr>
        <w:t xml:space="preserve"> dugotrajne imovine </w:t>
      </w:r>
      <w:r w:rsidR="00462D2C" w:rsidRPr="00462D2C">
        <w:rPr>
          <w:rFonts w:cstheme="minorHAnsi"/>
          <w:bCs/>
        </w:rPr>
        <w:t xml:space="preserve">povećavaju se za 171.900 EUR na poziciji Licenci. </w:t>
      </w:r>
      <w:r w:rsidRPr="00462D2C">
        <w:rPr>
          <w:rFonts w:cstheme="minorHAnsi"/>
          <w:bCs/>
        </w:rPr>
        <w:t xml:space="preserve">Rashodi za </w:t>
      </w:r>
      <w:r w:rsidR="00462D2C" w:rsidRPr="00462D2C">
        <w:rPr>
          <w:rFonts w:cstheme="minorHAnsi"/>
          <w:bCs/>
        </w:rPr>
        <w:t>nabavu proizvedene dugotrajne imovine povećavaju se</w:t>
      </w:r>
      <w:r w:rsidRPr="00462D2C">
        <w:rPr>
          <w:rFonts w:cstheme="minorHAnsi"/>
          <w:bCs/>
        </w:rPr>
        <w:t xml:space="preserve"> za </w:t>
      </w:r>
      <w:r w:rsidR="00462D2C" w:rsidRPr="00462D2C">
        <w:rPr>
          <w:rFonts w:cstheme="minorHAnsi"/>
          <w:bCs/>
        </w:rPr>
        <w:t>217.950</w:t>
      </w:r>
      <w:r w:rsidR="00855CFD" w:rsidRPr="00462D2C">
        <w:rPr>
          <w:rFonts w:cstheme="minorHAnsi"/>
          <w:bCs/>
        </w:rPr>
        <w:t xml:space="preserve"> EUR</w:t>
      </w:r>
      <w:r w:rsidR="00462D2C">
        <w:rPr>
          <w:rFonts w:cstheme="minorHAnsi"/>
          <w:bCs/>
        </w:rPr>
        <w:t xml:space="preserve"> na pozicijama Građevinski objekti, Postrojenja i oprema, te Knjige</w:t>
      </w:r>
      <w:r w:rsidR="00336026" w:rsidRPr="00336026">
        <w:rPr>
          <w:rFonts w:cstheme="minorHAnsi"/>
          <w:bCs/>
        </w:rPr>
        <w:t>.</w:t>
      </w:r>
      <w:r w:rsidR="00855CFD" w:rsidRPr="00336026">
        <w:rPr>
          <w:rFonts w:cstheme="minorHAnsi"/>
          <w:bCs/>
        </w:rPr>
        <w:t xml:space="preserve"> </w:t>
      </w:r>
      <w:r w:rsidRPr="00336026">
        <w:rPr>
          <w:rFonts w:cstheme="minorHAnsi"/>
          <w:bCs/>
        </w:rPr>
        <w:t xml:space="preserve"> </w:t>
      </w:r>
      <w:r w:rsidR="00007F69" w:rsidRPr="00336026">
        <w:rPr>
          <w:rFonts w:cstheme="minorHAnsi"/>
          <w:bCs/>
        </w:rPr>
        <w:t xml:space="preserve">Financiranje navedenih povećanja planirano </w:t>
      </w:r>
      <w:r w:rsidR="0013374F" w:rsidRPr="00336026">
        <w:rPr>
          <w:rFonts w:cstheme="minorHAnsi"/>
          <w:bCs/>
        </w:rPr>
        <w:t>je iz</w:t>
      </w:r>
      <w:r w:rsidR="00336026" w:rsidRPr="00336026">
        <w:rPr>
          <w:rFonts w:cstheme="minorHAnsi"/>
          <w:bCs/>
        </w:rPr>
        <w:t>:</w:t>
      </w:r>
      <w:r w:rsidR="0013374F" w:rsidRPr="00336026">
        <w:rPr>
          <w:rFonts w:cstheme="minorHAnsi"/>
          <w:bCs/>
        </w:rPr>
        <w:t xml:space="preserve">  donosa na IF 31</w:t>
      </w:r>
      <w:r w:rsidR="008650B6" w:rsidRPr="00336026">
        <w:rPr>
          <w:rFonts w:cstheme="minorHAnsi"/>
          <w:bCs/>
        </w:rPr>
        <w:t>, 52, 61 i 71 u iznosu 1.</w:t>
      </w:r>
      <w:r w:rsidR="00336026" w:rsidRPr="00336026">
        <w:rPr>
          <w:rFonts w:cstheme="minorHAnsi"/>
          <w:bCs/>
        </w:rPr>
        <w:t>097.143</w:t>
      </w:r>
      <w:r w:rsidR="008650B6" w:rsidRPr="00336026">
        <w:rPr>
          <w:rFonts w:cstheme="minorHAnsi"/>
          <w:bCs/>
        </w:rPr>
        <w:t xml:space="preserve"> EUR,  povećanja prihoda na IF </w:t>
      </w:r>
      <w:r w:rsidR="00336026" w:rsidRPr="00336026">
        <w:rPr>
          <w:rFonts w:cstheme="minorHAnsi"/>
          <w:bCs/>
        </w:rPr>
        <w:t>31</w:t>
      </w:r>
      <w:r w:rsidR="008650B6" w:rsidRPr="00336026">
        <w:rPr>
          <w:rFonts w:cstheme="minorHAnsi"/>
          <w:bCs/>
        </w:rPr>
        <w:t xml:space="preserve">,  52, 581, 61 i 71 u iznosu </w:t>
      </w:r>
      <w:r w:rsidR="00336026" w:rsidRPr="00336026">
        <w:rPr>
          <w:rFonts w:cstheme="minorHAnsi"/>
          <w:bCs/>
        </w:rPr>
        <w:t>2.</w:t>
      </w:r>
      <w:r w:rsidR="000C2EC7">
        <w:rPr>
          <w:rFonts w:cstheme="minorHAnsi"/>
          <w:bCs/>
        </w:rPr>
        <w:t>886.806 EUR</w:t>
      </w:r>
      <w:r w:rsidR="00336026" w:rsidRPr="00336026">
        <w:rPr>
          <w:rFonts w:cstheme="minorHAnsi"/>
          <w:bCs/>
        </w:rPr>
        <w:t>, te smanjenja prihoda na IF 11 za 720.239</w:t>
      </w:r>
      <w:r w:rsidR="008650B6" w:rsidRPr="00336026">
        <w:rPr>
          <w:rFonts w:cstheme="minorHAnsi"/>
          <w:bCs/>
        </w:rPr>
        <w:t xml:space="preserve"> EUR.</w:t>
      </w:r>
      <w:r w:rsidR="00007F69">
        <w:rPr>
          <w:rFonts w:cstheme="minorHAnsi"/>
          <w:bCs/>
        </w:rPr>
        <w:t xml:space="preserve"> </w:t>
      </w:r>
    </w:p>
    <w:p w14:paraId="06B98E9F" w14:textId="0458F22D" w:rsidR="002B0038" w:rsidRPr="00033CD0" w:rsidRDefault="002B0038" w:rsidP="002B0038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4A0CC8">
        <w:rPr>
          <w:rFonts w:cstheme="minorHAnsi"/>
          <w:bCs/>
        </w:rPr>
        <w:t>U razdoblju 202</w:t>
      </w:r>
      <w:r w:rsidR="00E7124E">
        <w:rPr>
          <w:rFonts w:cstheme="minorHAnsi"/>
          <w:bCs/>
        </w:rPr>
        <w:t>5</w:t>
      </w:r>
      <w:r w:rsidRPr="004A0CC8">
        <w:rPr>
          <w:rFonts w:cstheme="minorHAnsi"/>
          <w:bCs/>
        </w:rPr>
        <w:t>. nisu planirani izdaci.</w:t>
      </w:r>
    </w:p>
    <w:p w14:paraId="17A12A5A" w14:textId="77777777" w:rsidR="002B0038" w:rsidRPr="00033CD0" w:rsidRDefault="002B0038" w:rsidP="002B0038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1CE28834" w14:textId="77777777" w:rsidR="002B0038" w:rsidRPr="00033CD0" w:rsidRDefault="002B0038" w:rsidP="002B003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33CD0">
        <w:rPr>
          <w:rFonts w:cstheme="minorHAnsi"/>
          <w:b/>
          <w:sz w:val="24"/>
          <w:szCs w:val="24"/>
        </w:rPr>
        <w:t>PRIJENOS SREDSTAVA IZ PRETHODNE I U SLIJEDEĆU GODINU</w:t>
      </w:r>
    </w:p>
    <w:p w14:paraId="398FEDA3" w14:textId="47065ECB" w:rsidR="002B0038" w:rsidRPr="006B141C" w:rsidRDefault="006F4162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  <w:r w:rsidRPr="006B141C">
        <w:rPr>
          <w:rFonts w:cstheme="minorHAnsi"/>
          <w:lang w:eastAsia="x-none"/>
        </w:rPr>
        <w:t xml:space="preserve">Planirani donos iz </w:t>
      </w:r>
      <w:r w:rsidR="00F6487A">
        <w:rPr>
          <w:rFonts w:cstheme="minorHAnsi"/>
          <w:lang w:eastAsia="x-none"/>
        </w:rPr>
        <w:t>prethodne godine</w:t>
      </w:r>
      <w:r w:rsidRPr="006B141C">
        <w:rPr>
          <w:rFonts w:cstheme="minorHAnsi"/>
          <w:lang w:eastAsia="x-none"/>
        </w:rPr>
        <w:t xml:space="preserve"> korigiran je sukladno </w:t>
      </w:r>
      <w:r w:rsidR="00EA042E">
        <w:rPr>
          <w:rFonts w:cstheme="minorHAnsi"/>
          <w:lang w:eastAsia="x-none"/>
        </w:rPr>
        <w:t>ostvarenim</w:t>
      </w:r>
      <w:r w:rsidRPr="006B141C">
        <w:rPr>
          <w:rFonts w:cstheme="minorHAnsi"/>
          <w:lang w:eastAsia="x-none"/>
        </w:rPr>
        <w:t xml:space="preserve"> vrijednostima, te je isti povećan za </w:t>
      </w:r>
      <w:r w:rsidR="009A73E5">
        <w:rPr>
          <w:rFonts w:cstheme="minorHAnsi"/>
          <w:lang w:eastAsia="x-none"/>
        </w:rPr>
        <w:t>1.</w:t>
      </w:r>
      <w:r w:rsidR="00453745">
        <w:rPr>
          <w:rFonts w:cstheme="minorHAnsi"/>
          <w:lang w:eastAsia="x-none"/>
        </w:rPr>
        <w:t>534.740</w:t>
      </w:r>
      <w:r w:rsidRPr="006B141C">
        <w:rPr>
          <w:rFonts w:cstheme="minorHAnsi"/>
          <w:lang w:eastAsia="x-none"/>
        </w:rPr>
        <w:t xml:space="preserve"> EUR i iznosi </w:t>
      </w:r>
      <w:r w:rsidR="00453745">
        <w:rPr>
          <w:rFonts w:cstheme="minorHAnsi"/>
          <w:lang w:eastAsia="x-none"/>
        </w:rPr>
        <w:t>1.627.646</w:t>
      </w:r>
      <w:r w:rsidR="006B141C" w:rsidRPr="006B141C">
        <w:rPr>
          <w:rFonts w:cstheme="minorHAnsi"/>
          <w:lang w:eastAsia="x-none"/>
        </w:rPr>
        <w:t xml:space="preserve"> EUR</w:t>
      </w:r>
      <w:r w:rsidRPr="006B141C">
        <w:rPr>
          <w:rFonts w:cstheme="minorHAnsi"/>
          <w:lang w:eastAsia="x-none"/>
        </w:rPr>
        <w:t xml:space="preserve">. </w:t>
      </w:r>
    </w:p>
    <w:p w14:paraId="43B3F213" w14:textId="7D04DB13" w:rsidR="002B0038" w:rsidRPr="001006AF" w:rsidRDefault="00DB14EF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  <w:r w:rsidRPr="001006AF">
        <w:rPr>
          <w:rFonts w:cstheme="minorHAnsi"/>
          <w:lang w:eastAsia="x-none"/>
        </w:rPr>
        <w:t xml:space="preserve">Donos iz IF 31 povećan je za </w:t>
      </w:r>
      <w:r w:rsidR="000A59E0">
        <w:rPr>
          <w:rFonts w:cstheme="minorHAnsi"/>
          <w:lang w:eastAsia="x-none"/>
        </w:rPr>
        <w:t>56.254</w:t>
      </w:r>
      <w:r w:rsidRPr="001006AF">
        <w:rPr>
          <w:rFonts w:cstheme="minorHAnsi"/>
          <w:lang w:eastAsia="x-none"/>
        </w:rPr>
        <w:t xml:space="preserve"> EUR, te iznosi </w:t>
      </w:r>
      <w:r w:rsidR="000A59E0">
        <w:rPr>
          <w:rFonts w:cstheme="minorHAnsi"/>
          <w:lang w:eastAsia="x-none"/>
        </w:rPr>
        <w:t>122.615</w:t>
      </w:r>
      <w:r w:rsidRPr="001006AF">
        <w:rPr>
          <w:rFonts w:cstheme="minorHAnsi"/>
          <w:lang w:eastAsia="x-none"/>
        </w:rPr>
        <w:t xml:space="preserve"> EUR. Donos iz IF 43 povećan je za </w:t>
      </w:r>
      <w:r w:rsidR="000A59E0">
        <w:rPr>
          <w:rFonts w:cstheme="minorHAnsi"/>
          <w:lang w:eastAsia="x-none"/>
        </w:rPr>
        <w:t>327.221</w:t>
      </w:r>
      <w:r w:rsidRPr="001006AF">
        <w:rPr>
          <w:rFonts w:cstheme="minorHAnsi"/>
          <w:lang w:eastAsia="x-none"/>
        </w:rPr>
        <w:t xml:space="preserve"> EUR, te iznosi </w:t>
      </w:r>
      <w:r w:rsidR="000A59E0">
        <w:rPr>
          <w:rFonts w:cstheme="minorHAnsi"/>
          <w:lang w:eastAsia="x-none"/>
        </w:rPr>
        <w:t>327.221</w:t>
      </w:r>
      <w:r w:rsidRPr="001006AF">
        <w:rPr>
          <w:rFonts w:cstheme="minorHAnsi"/>
          <w:lang w:eastAsia="x-none"/>
        </w:rPr>
        <w:t xml:space="preserve"> EUR. Donos iz IF 52 povećan je za </w:t>
      </w:r>
      <w:r w:rsidR="000A59E0">
        <w:rPr>
          <w:rFonts w:cstheme="minorHAnsi"/>
          <w:lang w:eastAsia="x-none"/>
        </w:rPr>
        <w:t>512.278</w:t>
      </w:r>
      <w:r w:rsidRPr="001006AF">
        <w:rPr>
          <w:rFonts w:cstheme="minorHAnsi"/>
          <w:lang w:eastAsia="x-none"/>
        </w:rPr>
        <w:t xml:space="preserve"> EUR, te iznosi </w:t>
      </w:r>
      <w:r w:rsidR="005D5CA0">
        <w:rPr>
          <w:rFonts w:cstheme="minorHAnsi"/>
          <w:lang w:eastAsia="x-none"/>
        </w:rPr>
        <w:t>512.278</w:t>
      </w:r>
      <w:r w:rsidRPr="001006AF">
        <w:rPr>
          <w:rFonts w:cstheme="minorHAnsi"/>
          <w:lang w:eastAsia="x-none"/>
        </w:rPr>
        <w:t xml:space="preserve"> EUR. Donos iz IF 61 povećan je za </w:t>
      </w:r>
      <w:r w:rsidR="000A59E0">
        <w:rPr>
          <w:rFonts w:cstheme="minorHAnsi"/>
          <w:lang w:eastAsia="x-none"/>
        </w:rPr>
        <w:t>614.607</w:t>
      </w:r>
      <w:r w:rsidRPr="001006AF">
        <w:rPr>
          <w:rFonts w:cstheme="minorHAnsi"/>
          <w:lang w:eastAsia="x-none"/>
        </w:rPr>
        <w:t xml:space="preserve"> EUR, te iznosi </w:t>
      </w:r>
      <w:r w:rsidR="000A59E0">
        <w:rPr>
          <w:rFonts w:cstheme="minorHAnsi"/>
          <w:lang w:eastAsia="x-none"/>
        </w:rPr>
        <w:t>641.152</w:t>
      </w:r>
      <w:r w:rsidRPr="001006AF">
        <w:rPr>
          <w:rFonts w:cstheme="minorHAnsi"/>
          <w:lang w:eastAsia="x-none"/>
        </w:rPr>
        <w:t xml:space="preserve"> EUR. Donos iz IF 71 </w:t>
      </w:r>
      <w:r w:rsidR="00D71364" w:rsidRPr="001006AF">
        <w:rPr>
          <w:rFonts w:cstheme="minorHAnsi"/>
          <w:lang w:eastAsia="x-none"/>
        </w:rPr>
        <w:t xml:space="preserve">povećan je za </w:t>
      </w:r>
      <w:r w:rsidR="000A59E0">
        <w:rPr>
          <w:rFonts w:cstheme="minorHAnsi"/>
          <w:lang w:eastAsia="x-none"/>
        </w:rPr>
        <w:t xml:space="preserve">24.380 </w:t>
      </w:r>
      <w:r w:rsidR="00D71364" w:rsidRPr="001006AF">
        <w:rPr>
          <w:rFonts w:cstheme="minorHAnsi"/>
          <w:lang w:eastAsia="x-none"/>
        </w:rPr>
        <w:t xml:space="preserve">EUR, te iznosi </w:t>
      </w:r>
      <w:r w:rsidR="000A59E0">
        <w:rPr>
          <w:rFonts w:cstheme="minorHAnsi"/>
          <w:lang w:eastAsia="x-none"/>
        </w:rPr>
        <w:t>24.380</w:t>
      </w:r>
      <w:r w:rsidR="00D71364" w:rsidRPr="001006AF">
        <w:rPr>
          <w:rFonts w:cstheme="minorHAnsi"/>
          <w:lang w:eastAsia="x-none"/>
        </w:rPr>
        <w:t xml:space="preserve"> EUR. </w:t>
      </w:r>
    </w:p>
    <w:p w14:paraId="695A8F1A" w14:textId="062C71B4" w:rsidR="002B0038" w:rsidRPr="00D71364" w:rsidRDefault="002B0038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  <w:r w:rsidRPr="001006AF">
        <w:rPr>
          <w:rFonts w:cstheme="minorHAnsi"/>
          <w:lang w:eastAsia="x-none"/>
        </w:rPr>
        <w:t xml:space="preserve">Sredstva se planiraju utrošiti za </w:t>
      </w:r>
      <w:r w:rsidR="00D71364" w:rsidRPr="001006AF">
        <w:rPr>
          <w:rFonts w:cstheme="minorHAnsi"/>
          <w:lang w:eastAsia="x-none"/>
        </w:rPr>
        <w:t xml:space="preserve">provođenje aktivnosti K890002 </w:t>
      </w:r>
      <w:r w:rsidR="005D5CA0">
        <w:rPr>
          <w:rFonts w:cstheme="minorHAnsi"/>
          <w:lang w:eastAsia="x-none"/>
        </w:rPr>
        <w:t>I</w:t>
      </w:r>
      <w:r w:rsidR="00D71364" w:rsidRPr="001006AF">
        <w:rPr>
          <w:rFonts w:cstheme="minorHAnsi"/>
          <w:lang w:eastAsia="x-none"/>
        </w:rPr>
        <w:t>zravna kapitalna ulaganja,</w:t>
      </w:r>
      <w:r w:rsidR="005D5CA0">
        <w:rPr>
          <w:rFonts w:cstheme="minorHAnsi"/>
          <w:lang w:eastAsia="x-none"/>
        </w:rPr>
        <w:t xml:space="preserve"> K890006 Digitalna patologija i telemedicina, </w:t>
      </w:r>
      <w:r w:rsidR="00D71364" w:rsidRPr="001006AF">
        <w:rPr>
          <w:rFonts w:cstheme="minorHAnsi"/>
          <w:lang w:eastAsia="x-none"/>
        </w:rPr>
        <w:t xml:space="preserve"> te </w:t>
      </w:r>
      <w:r w:rsidR="00D71364" w:rsidRPr="00D71364">
        <w:rPr>
          <w:rFonts w:cstheme="minorHAnsi"/>
          <w:lang w:eastAsia="x-none"/>
        </w:rPr>
        <w:t xml:space="preserve"> A890001 Administracija i upravljanje. </w:t>
      </w:r>
    </w:p>
    <w:p w14:paraId="5230CE3B" w14:textId="0589D96F" w:rsidR="002B0038" w:rsidRDefault="00D71364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  <w:r w:rsidRPr="00D71364">
        <w:rPr>
          <w:rFonts w:cstheme="minorHAnsi"/>
          <w:lang w:eastAsia="x-none"/>
        </w:rPr>
        <w:t>Prijenos neutrošenih sredstava u slijedeću godinu</w:t>
      </w:r>
      <w:r w:rsidR="00EA042E">
        <w:rPr>
          <w:rFonts w:cstheme="minorHAnsi"/>
          <w:lang w:eastAsia="x-none"/>
        </w:rPr>
        <w:t xml:space="preserve"> nije korigiran, a</w:t>
      </w:r>
      <w:r w:rsidRPr="00D71364">
        <w:rPr>
          <w:rFonts w:cstheme="minorHAnsi"/>
          <w:lang w:eastAsia="x-none"/>
        </w:rPr>
        <w:t xml:space="preserve"> planiran je u iznosu 92.906 EUR i to sa IF 31 u iznosu 66.361 EUR, te IF 61 u iznosu 26.545. </w:t>
      </w:r>
    </w:p>
    <w:p w14:paraId="1EE46C1F" w14:textId="7CF8CDEE" w:rsidR="002B1D8C" w:rsidRDefault="002B1D8C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70011114" w14:textId="48810A08" w:rsidR="002B1D8C" w:rsidRDefault="002B1D8C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196AB0EC" w14:textId="2D120EC6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28CD8EE2" w14:textId="2BFC4BA6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08EEE9F0" w14:textId="2D78682A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7F40D112" w14:textId="51CB3954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7C632B0C" w14:textId="41FA9D87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467A2ED1" w14:textId="408D2ED7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034AC39A" w14:textId="38041E92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1115962B" w14:textId="5F1B5AFF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377EDFA0" w14:textId="791A36DB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7DB76CD6" w14:textId="5B2E6A5F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1EB3A7DD" w14:textId="33985F55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778E0B8E" w14:textId="135F25BF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4437BF11" w14:textId="345BA9F1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3B934982" w14:textId="37893675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25FAF75A" w14:textId="091B64FE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7AFE0A42" w14:textId="014F0DAC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50CC37C1" w14:textId="4F884398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3996047F" w14:textId="6BBFCD8D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383D8333" w14:textId="63BAB2C3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0C68C081" w14:textId="3B3ED557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748B4292" w14:textId="59E3ACA1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0E626F70" w14:textId="525A58A9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6F082F32" w14:textId="1589609D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524C26A6" w14:textId="77777777" w:rsidR="00850079" w:rsidRDefault="00850079" w:rsidP="002B0038">
      <w:pPr>
        <w:pStyle w:val="Odlomakpopisa"/>
        <w:spacing w:line="240" w:lineRule="auto"/>
        <w:ind w:left="0"/>
        <w:jc w:val="both"/>
        <w:rPr>
          <w:rFonts w:cstheme="minorHAnsi"/>
          <w:lang w:eastAsia="x-none"/>
        </w:rPr>
      </w:pPr>
    </w:p>
    <w:p w14:paraId="131F6687" w14:textId="77777777" w:rsidR="00A25F15" w:rsidRPr="00052FFF" w:rsidRDefault="00B726C0" w:rsidP="00E13213">
      <w:pPr>
        <w:pStyle w:val="Naslov1"/>
        <w:numPr>
          <w:ilvl w:val="0"/>
          <w:numId w:val="29"/>
        </w:numPr>
        <w:pBdr>
          <w:top w:val="double" w:sz="4" w:space="1" w:color="auto"/>
          <w:bottom w:val="double" w:sz="4" w:space="1" w:color="auto"/>
        </w:pBdr>
        <w:shd w:val="clear" w:color="auto" w:fill="D5DCE4" w:themeFill="text2" w:themeFillTint="33"/>
        <w:ind w:left="357" w:hanging="357"/>
      </w:pPr>
      <w:bookmarkStart w:id="5" w:name="_Toc116997200"/>
      <w:r w:rsidRPr="00052FFF">
        <w:lastRenderedPageBreak/>
        <w:t>POSEBNI DIO</w:t>
      </w:r>
      <w:bookmarkEnd w:id="5"/>
    </w:p>
    <w:tbl>
      <w:tblPr>
        <w:tblW w:w="10320" w:type="dxa"/>
        <w:tblLook w:val="04A0" w:firstRow="1" w:lastRow="0" w:firstColumn="1" w:lastColumn="0" w:noHBand="0" w:noVBand="1"/>
      </w:tblPr>
      <w:tblGrid>
        <w:gridCol w:w="2724"/>
        <w:gridCol w:w="3351"/>
        <w:gridCol w:w="1349"/>
        <w:gridCol w:w="1459"/>
        <w:gridCol w:w="1437"/>
      </w:tblGrid>
      <w:tr w:rsidR="000E650F" w:rsidRPr="000E650F" w14:paraId="24770CD7" w14:textId="77777777" w:rsidTr="000E650F">
        <w:trPr>
          <w:trHeight w:val="315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28C5" w14:textId="77777777" w:rsidR="000E650F" w:rsidRDefault="000E650F" w:rsidP="000E6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9AD9D44" w14:textId="7F2948A0" w:rsidR="000E650F" w:rsidRPr="000E650F" w:rsidRDefault="000E650F" w:rsidP="000E6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5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II. POSEBNI DIO</w:t>
            </w:r>
          </w:p>
        </w:tc>
      </w:tr>
      <w:tr w:rsidR="000E650F" w:rsidRPr="000E650F" w14:paraId="3A9791B1" w14:textId="77777777" w:rsidTr="000E650F">
        <w:trPr>
          <w:trHeight w:val="315"/>
        </w:trPr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448B6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0EDD" w14:textId="77777777" w:rsidR="000E650F" w:rsidRPr="000E650F" w:rsidRDefault="000E650F" w:rsidP="000E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F63A" w14:textId="77777777" w:rsidR="000E650F" w:rsidRPr="000E650F" w:rsidRDefault="000E650F" w:rsidP="000E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BC8C" w14:textId="77777777" w:rsidR="000E650F" w:rsidRPr="000E650F" w:rsidRDefault="000E650F" w:rsidP="000E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50E0" w14:textId="77777777" w:rsidR="000E650F" w:rsidRPr="000E650F" w:rsidRDefault="000E650F" w:rsidP="000E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650F" w:rsidRPr="000E650F" w14:paraId="0C9EEEF5" w14:textId="77777777" w:rsidTr="000E650F">
        <w:trPr>
          <w:trHeight w:val="615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3BD17DA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3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848FD41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Naziv 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3289881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2025.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76F6A4C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    /smanjenje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84DD2DA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Novi plan 2025.</w:t>
            </w:r>
          </w:p>
        </w:tc>
      </w:tr>
      <w:tr w:rsidR="000E650F" w:rsidRPr="000E650F" w14:paraId="7BC151EB" w14:textId="77777777" w:rsidTr="000E650F">
        <w:trPr>
          <w:trHeight w:val="7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1E6D9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F55D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C528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573E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927B" w14:textId="77777777" w:rsidR="000E650F" w:rsidRPr="000E650F" w:rsidRDefault="000E650F" w:rsidP="000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0E650F" w:rsidRPr="000E650F" w14:paraId="0D8A587D" w14:textId="77777777" w:rsidTr="000E650F">
        <w:trPr>
          <w:trHeight w:val="29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0B163" w14:textId="77777777" w:rsidR="000E650F" w:rsidRPr="000E650F" w:rsidRDefault="000E650F" w:rsidP="000E650F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26400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F71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Klinički bolnički centar Osijek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C65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229.200.856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B11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12.145.100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00C0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241.345.956</w:t>
            </w:r>
          </w:p>
        </w:tc>
      </w:tr>
      <w:tr w:rsidR="000E650F" w:rsidRPr="000E650F" w14:paraId="3E169162" w14:textId="77777777" w:rsidTr="000E650F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7520" w14:textId="77777777" w:rsidR="000E650F" w:rsidRPr="000E650F" w:rsidRDefault="000E650F" w:rsidP="000E650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70B91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Investicije u zdravstvenu infrastrukturu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3835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7.845.948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21C9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3.422.233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E7B2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11.268.181</w:t>
            </w:r>
          </w:p>
        </w:tc>
      </w:tr>
      <w:tr w:rsidR="000E650F" w:rsidRPr="000E650F" w14:paraId="35CC31E0" w14:textId="77777777" w:rsidTr="000E650F">
        <w:trPr>
          <w:trHeight w:val="17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421C4" w14:textId="77777777" w:rsidR="000E650F" w:rsidRPr="000E650F" w:rsidRDefault="000E650F" w:rsidP="000E650F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K890002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026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Izravna kapitalna ulaganja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98EC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7.590.498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732D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2.992.899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67E6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10.583.397</w:t>
            </w:r>
          </w:p>
        </w:tc>
      </w:tr>
      <w:tr w:rsidR="000E650F" w:rsidRPr="000E650F" w14:paraId="6134FCFE" w14:textId="77777777" w:rsidTr="000E650F">
        <w:trPr>
          <w:trHeight w:val="15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22CE6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15B2E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3D5A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5.818.795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7DDE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-720.239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9B5E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5.098.556</w:t>
            </w:r>
          </w:p>
        </w:tc>
      </w:tr>
      <w:tr w:rsidR="000E650F" w:rsidRPr="000E650F" w14:paraId="5D908002" w14:textId="77777777" w:rsidTr="000E650F">
        <w:trPr>
          <w:trHeight w:val="42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A8972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A6D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86A7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5.818.795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067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-720.239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D8B9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5.098.556</w:t>
            </w:r>
          </w:p>
        </w:tc>
      </w:tr>
      <w:tr w:rsidR="000E650F" w:rsidRPr="000E650F" w14:paraId="5FB30FCA" w14:textId="77777777" w:rsidTr="000E650F">
        <w:trPr>
          <w:trHeight w:val="42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BC55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F4533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E62C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33.000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87C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129.900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566B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162.900</w:t>
            </w:r>
          </w:p>
        </w:tc>
      </w:tr>
      <w:tr w:rsidR="000E650F" w:rsidRPr="000E650F" w14:paraId="7F7436E7" w14:textId="77777777" w:rsidTr="000E650F">
        <w:trPr>
          <w:trHeight w:val="57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19BE3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635B2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CC9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4.331.252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3E8B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-900.000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48EB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3.431.252</w:t>
            </w:r>
          </w:p>
        </w:tc>
      </w:tr>
      <w:tr w:rsidR="000E650F" w:rsidRPr="000E650F" w14:paraId="5B607E5C" w14:textId="77777777" w:rsidTr="000E650F">
        <w:trPr>
          <w:trHeight w:val="57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B4B1C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D2925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3E3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1.454.543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B2A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49.861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56F0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1.504.404</w:t>
            </w:r>
          </w:p>
        </w:tc>
      </w:tr>
      <w:tr w:rsidR="000E650F" w:rsidRPr="000E650F" w14:paraId="3CF00433" w14:textId="77777777" w:rsidTr="000E650F">
        <w:trPr>
          <w:trHeight w:val="28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C7926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0659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65A4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1.471.683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30CE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1.157.197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28D9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2.628.880</w:t>
            </w:r>
          </w:p>
        </w:tc>
      </w:tr>
      <w:tr w:rsidR="000E650F" w:rsidRPr="000E650F" w14:paraId="7B5BF681" w14:textId="77777777" w:rsidTr="000E650F">
        <w:trPr>
          <w:trHeight w:val="33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DE088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B09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2CCB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1.471.683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3D72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1.157.197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D11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2.628.880</w:t>
            </w:r>
          </w:p>
        </w:tc>
      </w:tr>
      <w:tr w:rsidR="000E650F" w:rsidRPr="000E650F" w14:paraId="4BE4C37D" w14:textId="77777777" w:rsidTr="000E650F">
        <w:trPr>
          <w:trHeight w:val="116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CB7F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47FC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B413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1134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D44C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42.100</w:t>
            </w:r>
          </w:p>
        </w:tc>
      </w:tr>
      <w:tr w:rsidR="000E650F" w:rsidRPr="000E650F" w14:paraId="32615861" w14:textId="77777777" w:rsidTr="000E650F">
        <w:trPr>
          <w:trHeight w:val="238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C5E8A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39C9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B192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1.214.583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003B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472.197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C7A6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1.686.780</w:t>
            </w:r>
          </w:p>
        </w:tc>
      </w:tr>
      <w:tr w:rsidR="000E650F" w:rsidRPr="000E650F" w14:paraId="5748578A" w14:textId="77777777" w:rsidTr="000E650F">
        <w:trPr>
          <w:trHeight w:val="374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83E3B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831B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893A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257.000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604E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643.000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7D0F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900.000</w:t>
            </w:r>
          </w:p>
        </w:tc>
      </w:tr>
      <w:tr w:rsidR="000E650F" w:rsidRPr="000E650F" w14:paraId="75F48DF6" w14:textId="77777777" w:rsidTr="000E650F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331BC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7C2A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353D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42A6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1.761.804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BC6C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1.773.804</w:t>
            </w:r>
          </w:p>
        </w:tc>
      </w:tr>
      <w:tr w:rsidR="000E650F" w:rsidRPr="000E650F" w14:paraId="353B2422" w14:textId="77777777" w:rsidTr="000E650F">
        <w:trPr>
          <w:trHeight w:val="3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70AE2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944F6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7687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E46B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1.761.804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B8C8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1.773.804</w:t>
            </w:r>
          </w:p>
        </w:tc>
      </w:tr>
      <w:tr w:rsidR="000E650F" w:rsidRPr="000E650F" w14:paraId="5B2797F7" w14:textId="77777777" w:rsidTr="000E650F">
        <w:trPr>
          <w:trHeight w:val="334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075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3758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0CAB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D559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305.014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9B23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310.014</w:t>
            </w:r>
          </w:p>
        </w:tc>
      </w:tr>
      <w:tr w:rsidR="000E650F" w:rsidRPr="000E650F" w14:paraId="7840122C" w14:textId="77777777" w:rsidTr="000E650F">
        <w:trPr>
          <w:trHeight w:val="242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DB56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5D024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E21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4BDE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1.456.790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7666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1.463.790</w:t>
            </w:r>
          </w:p>
        </w:tc>
      </w:tr>
      <w:tr w:rsidR="000E650F" w:rsidRPr="000E650F" w14:paraId="321BF310" w14:textId="77777777" w:rsidTr="000E650F">
        <w:trPr>
          <w:trHeight w:val="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607E3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581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96A80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Mehanizam za oporavak i otpornost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A4F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263.252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F6F8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5FD1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263.252</w:t>
            </w:r>
          </w:p>
        </w:tc>
      </w:tr>
      <w:tr w:rsidR="000E650F" w:rsidRPr="000E650F" w14:paraId="67A69B9D" w14:textId="77777777" w:rsidTr="000E650F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8891F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16212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C377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263.252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88B8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7AF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263.252</w:t>
            </w:r>
          </w:p>
        </w:tc>
      </w:tr>
      <w:tr w:rsidR="000E650F" w:rsidRPr="000E650F" w14:paraId="2EBCFC6F" w14:textId="77777777" w:rsidTr="000E650F">
        <w:trPr>
          <w:trHeight w:val="361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CCB38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D26D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FDE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263.252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4E4D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C802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263.252</w:t>
            </w:r>
          </w:p>
        </w:tc>
      </w:tr>
      <w:tr w:rsidR="000E650F" w:rsidRPr="000E650F" w14:paraId="37E62249" w14:textId="77777777" w:rsidTr="000E650F">
        <w:trPr>
          <w:trHeight w:val="127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D04DF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0A1A0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53CF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67E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734.107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0090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758.107</w:t>
            </w:r>
          </w:p>
        </w:tc>
      </w:tr>
      <w:tr w:rsidR="000E650F" w:rsidRPr="000E650F" w14:paraId="11C8425A" w14:textId="77777777" w:rsidTr="000E650F">
        <w:trPr>
          <w:trHeight w:val="272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E29D5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785A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F372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24.000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2B03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734.107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E6BB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758.107</w:t>
            </w:r>
          </w:p>
        </w:tc>
      </w:tr>
      <w:tr w:rsidR="000E650F" w:rsidRPr="000E650F" w14:paraId="5A8998CF" w14:textId="77777777" w:rsidTr="000E650F">
        <w:trPr>
          <w:trHeight w:val="336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6208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DC56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6C98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E044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7EA0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</w:tr>
      <w:tr w:rsidR="000E650F" w:rsidRPr="000E650F" w14:paraId="4E3B860F" w14:textId="77777777" w:rsidTr="000E650F">
        <w:trPr>
          <w:trHeight w:val="24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8129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F13F0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C9E4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21.900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FE2B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310.607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8EAF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332.507</w:t>
            </w:r>
          </w:p>
        </w:tc>
      </w:tr>
      <w:tr w:rsidR="000E650F" w:rsidRPr="000E650F" w14:paraId="722F54B4" w14:textId="77777777" w:rsidTr="000E650F">
        <w:trPr>
          <w:trHeight w:val="30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2D659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5F990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3CC0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5E8C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423.500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0E14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425.500</w:t>
            </w:r>
          </w:p>
        </w:tc>
      </w:tr>
      <w:tr w:rsidR="000E650F" w:rsidRPr="000E650F" w14:paraId="5F79B217" w14:textId="77777777" w:rsidTr="000E650F">
        <w:trPr>
          <w:trHeight w:val="57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17D98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C01F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4411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1D97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60.030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04FF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60.798</w:t>
            </w:r>
          </w:p>
        </w:tc>
      </w:tr>
      <w:tr w:rsidR="000E650F" w:rsidRPr="000E650F" w14:paraId="291E1B54" w14:textId="77777777" w:rsidTr="000E650F">
        <w:trPr>
          <w:trHeight w:val="264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20EFF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6230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AADF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FCDB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60.030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2E2A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60.798</w:t>
            </w:r>
          </w:p>
        </w:tc>
      </w:tr>
      <w:tr w:rsidR="000E650F" w:rsidRPr="000E650F" w14:paraId="1CC5DF07" w14:textId="77777777" w:rsidTr="000E650F">
        <w:trPr>
          <w:trHeight w:val="327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B2642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7630E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FE8F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8B37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30.030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948A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30.798</w:t>
            </w:r>
          </w:p>
        </w:tc>
      </w:tr>
      <w:tr w:rsidR="000E650F" w:rsidRPr="000E650F" w14:paraId="12957728" w14:textId="77777777" w:rsidTr="000E650F">
        <w:trPr>
          <w:trHeight w:val="263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9E2A3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871E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6EAA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5284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68E7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30.000</w:t>
            </w:r>
          </w:p>
        </w:tc>
      </w:tr>
      <w:tr w:rsidR="000E650F" w:rsidRPr="000E650F" w14:paraId="1F2DE7B9" w14:textId="77777777" w:rsidTr="000E650F">
        <w:trPr>
          <w:trHeight w:val="18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E4EB" w14:textId="77777777" w:rsidR="000E650F" w:rsidRPr="000E650F" w:rsidRDefault="000E650F" w:rsidP="000E650F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K890006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2C55D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Digitalna patologija i telemedicina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A714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255.450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796D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2.826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19F6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258.276</w:t>
            </w:r>
          </w:p>
        </w:tc>
      </w:tr>
      <w:tr w:rsidR="000E650F" w:rsidRPr="000E650F" w14:paraId="7FE35F18" w14:textId="77777777" w:rsidTr="000E650F">
        <w:trPr>
          <w:trHeight w:val="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F76DA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F7073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9AAC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38.318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9FE5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0471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38.742</w:t>
            </w:r>
          </w:p>
        </w:tc>
      </w:tr>
      <w:tr w:rsidR="000E650F" w:rsidRPr="000E650F" w14:paraId="1D648800" w14:textId="77777777" w:rsidTr="000E650F">
        <w:trPr>
          <w:trHeight w:val="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40897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A5FDA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BDD4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4.648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BCC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E515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5.056</w:t>
            </w:r>
          </w:p>
        </w:tc>
      </w:tr>
      <w:tr w:rsidR="000E650F" w:rsidRPr="000E650F" w14:paraId="7A25859C" w14:textId="77777777" w:rsidTr="000E650F">
        <w:trPr>
          <w:trHeight w:val="15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21D5A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CC5C3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88E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3.634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0EA0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FDB8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3.634</w:t>
            </w:r>
          </w:p>
        </w:tc>
      </w:tr>
      <w:tr w:rsidR="000E650F" w:rsidRPr="000E650F" w14:paraId="3B9419A8" w14:textId="77777777" w:rsidTr="000E650F">
        <w:trPr>
          <w:trHeight w:val="15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39B06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EF7A4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F2CD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1.014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7FAE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1AF7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1.422</w:t>
            </w:r>
          </w:p>
        </w:tc>
      </w:tr>
      <w:tr w:rsidR="000E650F" w:rsidRPr="000E650F" w14:paraId="4467F540" w14:textId="77777777" w:rsidTr="000E650F">
        <w:trPr>
          <w:trHeight w:val="277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14D4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0D7D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5303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33.670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88BE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B41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33.686</w:t>
            </w:r>
          </w:p>
        </w:tc>
      </w:tr>
      <w:tr w:rsidR="000E650F" w:rsidRPr="000E650F" w14:paraId="3BF21BC2" w14:textId="77777777" w:rsidTr="000E650F">
        <w:trPr>
          <w:trHeight w:val="412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8628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7C8EE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412A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33.670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D43E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1B7B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33.686</w:t>
            </w:r>
          </w:p>
        </w:tc>
      </w:tr>
      <w:tr w:rsidR="000E650F" w:rsidRPr="000E650F" w14:paraId="1ABE0980" w14:textId="77777777" w:rsidTr="000E650F">
        <w:trPr>
          <w:trHeight w:val="17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FBC83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FE20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F0AB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217.132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B2F6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2.402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748B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219.534</w:t>
            </w:r>
          </w:p>
        </w:tc>
      </w:tr>
      <w:tr w:rsidR="000E650F" w:rsidRPr="000E650F" w14:paraId="0F6DEE36" w14:textId="77777777" w:rsidTr="000E650F">
        <w:trPr>
          <w:trHeight w:val="183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25A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358D2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3472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26.335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CAAD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2.316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2922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28.651</w:t>
            </w:r>
          </w:p>
        </w:tc>
      </w:tr>
      <w:tr w:rsidR="000E650F" w:rsidRPr="000E650F" w14:paraId="3BA4EBED" w14:textId="77777777" w:rsidTr="000E650F">
        <w:trPr>
          <w:trHeight w:val="173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853C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1C730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35F7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20.590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3438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3962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20.590</w:t>
            </w:r>
          </w:p>
        </w:tc>
      </w:tr>
      <w:tr w:rsidR="000E650F" w:rsidRPr="000E650F" w14:paraId="3114221A" w14:textId="77777777" w:rsidTr="000E650F">
        <w:trPr>
          <w:trHeight w:val="262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BCA0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353C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DF07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5.745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F3C3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2.316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5867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8.061</w:t>
            </w:r>
          </w:p>
        </w:tc>
      </w:tr>
      <w:tr w:rsidR="000E650F" w:rsidRPr="000E650F" w14:paraId="5A96A5DA" w14:textId="77777777" w:rsidTr="000E650F">
        <w:trPr>
          <w:trHeight w:val="394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D12F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E620E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48D8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190.797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630B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87B1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190.883</w:t>
            </w:r>
          </w:p>
        </w:tc>
      </w:tr>
      <w:tr w:rsidR="000E650F" w:rsidRPr="000E650F" w14:paraId="6C514033" w14:textId="77777777" w:rsidTr="000E650F">
        <w:trPr>
          <w:trHeight w:val="317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7223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88FA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C5CA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190.797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A473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B8BD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190.883</w:t>
            </w:r>
          </w:p>
        </w:tc>
      </w:tr>
      <w:tr w:rsidR="000E650F" w:rsidRPr="000E650F" w14:paraId="70685085" w14:textId="77777777" w:rsidTr="000E650F">
        <w:trPr>
          <w:trHeight w:val="57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8D719" w14:textId="77777777" w:rsidR="000E650F" w:rsidRPr="000E650F" w:rsidRDefault="000E650F" w:rsidP="000E650F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K890008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0833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Jačanje otpornosti zdravstvenog sustava - NPOO C5,1 - KBC Osijek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6CA7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2303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426.508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17B6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426.508</w:t>
            </w:r>
          </w:p>
        </w:tc>
      </w:tr>
      <w:tr w:rsidR="000E650F" w:rsidRPr="000E650F" w14:paraId="12C26CD9" w14:textId="77777777" w:rsidTr="000E650F">
        <w:trPr>
          <w:trHeight w:val="13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5F54D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581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075E5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Mehanizam za oporavak i otpornost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7B3D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A732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426.508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F8BC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426.508</w:t>
            </w:r>
          </w:p>
        </w:tc>
      </w:tr>
      <w:tr w:rsidR="000E650F" w:rsidRPr="000E650F" w14:paraId="6A952606" w14:textId="77777777" w:rsidTr="000E650F">
        <w:trPr>
          <w:trHeight w:val="266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6779B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46AF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651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021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155.799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106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155.799</w:t>
            </w:r>
          </w:p>
        </w:tc>
      </w:tr>
      <w:tr w:rsidR="000E650F" w:rsidRPr="000E650F" w14:paraId="33D989BB" w14:textId="77777777" w:rsidTr="000E650F">
        <w:trPr>
          <w:trHeight w:val="257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9AC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DD181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B113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2C2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137.745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B488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137.745</w:t>
            </w:r>
          </w:p>
        </w:tc>
      </w:tr>
      <w:tr w:rsidR="000E650F" w:rsidRPr="000E650F" w14:paraId="3835E903" w14:textId="77777777" w:rsidTr="000E650F">
        <w:trPr>
          <w:trHeight w:val="2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590FE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33BF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5E73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36DF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18.054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D64E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18.054</w:t>
            </w:r>
          </w:p>
        </w:tc>
      </w:tr>
      <w:tr w:rsidR="000E650F" w:rsidRPr="000E650F" w14:paraId="5BE81A35" w14:textId="77777777" w:rsidTr="000E650F">
        <w:trPr>
          <w:trHeight w:val="251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8D6CF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577F3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77A5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C7BD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270.709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8086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270.709</w:t>
            </w:r>
          </w:p>
        </w:tc>
      </w:tr>
      <w:tr w:rsidR="000E650F" w:rsidRPr="000E650F" w14:paraId="649A0210" w14:textId="77777777" w:rsidTr="000E650F">
        <w:trPr>
          <w:trHeight w:val="57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25092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9F1C3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CC87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619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270.709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746F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270.709</w:t>
            </w:r>
          </w:p>
        </w:tc>
      </w:tr>
      <w:tr w:rsidR="000E650F" w:rsidRPr="000E650F" w14:paraId="0F11AE6B" w14:textId="77777777" w:rsidTr="000E650F">
        <w:trPr>
          <w:trHeight w:val="40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E1095" w14:textId="77777777" w:rsidR="000E650F" w:rsidRPr="000E650F" w:rsidRDefault="000E650F" w:rsidP="000E650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3605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EE5C4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Sigurnost građana i pravo na zdravstvene usluge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16E8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221.354.908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88E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8.722.867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3383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230.077.775</w:t>
            </w:r>
          </w:p>
        </w:tc>
      </w:tr>
      <w:tr w:rsidR="000E650F" w:rsidRPr="000E650F" w14:paraId="3C0A2481" w14:textId="77777777" w:rsidTr="000E650F">
        <w:trPr>
          <w:trHeight w:val="3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F711" w14:textId="77777777" w:rsidR="000E650F" w:rsidRPr="000E650F" w:rsidRDefault="000E650F" w:rsidP="000E650F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A890001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F29D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598D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221.354.908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63C1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8.722.867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CF89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230.077.775</w:t>
            </w:r>
          </w:p>
        </w:tc>
      </w:tr>
      <w:tr w:rsidR="000E650F" w:rsidRPr="000E650F" w14:paraId="7D75F867" w14:textId="77777777" w:rsidTr="000E650F">
        <w:trPr>
          <w:trHeight w:val="25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74CAA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13DD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7D3B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5.394.523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2B3F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E7D9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5.494.523</w:t>
            </w:r>
          </w:p>
        </w:tc>
      </w:tr>
      <w:tr w:rsidR="000E650F" w:rsidRPr="000E650F" w14:paraId="19B0B669" w14:textId="77777777" w:rsidTr="000E650F">
        <w:trPr>
          <w:trHeight w:val="241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777B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94BED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29AC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5.394.523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8189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4F67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5.494.523</w:t>
            </w:r>
          </w:p>
        </w:tc>
      </w:tr>
      <w:tr w:rsidR="000E650F" w:rsidRPr="000E650F" w14:paraId="6E2D4C13" w14:textId="77777777" w:rsidTr="000E650F">
        <w:trPr>
          <w:trHeight w:val="102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298F0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EAE8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D973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5.394.523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E865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3EF3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5.494.523</w:t>
            </w:r>
          </w:p>
        </w:tc>
      </w:tr>
      <w:tr w:rsidR="000E650F" w:rsidRPr="000E650F" w14:paraId="2FDDB305" w14:textId="77777777" w:rsidTr="000E650F">
        <w:trPr>
          <w:trHeight w:val="93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C6418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8DBD6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688E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628.000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E7F4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3.900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8DB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631.900</w:t>
            </w:r>
          </w:p>
        </w:tc>
      </w:tr>
      <w:tr w:rsidR="000E650F" w:rsidRPr="000E650F" w14:paraId="0B71E1C7" w14:textId="77777777" w:rsidTr="000E650F">
        <w:trPr>
          <w:trHeight w:val="224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9A539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476D0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F41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628.000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BB3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3.900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7617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631.900</w:t>
            </w:r>
          </w:p>
        </w:tc>
      </w:tr>
      <w:tr w:rsidR="000E650F" w:rsidRPr="000E650F" w14:paraId="7123F101" w14:textId="77777777" w:rsidTr="000E650F">
        <w:trPr>
          <w:trHeight w:val="22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F4BD6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D219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E775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502.400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459F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38.000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CE04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540.400</w:t>
            </w:r>
          </w:p>
        </w:tc>
      </w:tr>
      <w:tr w:rsidR="000E650F" w:rsidRPr="000E650F" w14:paraId="17B2C52A" w14:textId="77777777" w:rsidTr="000E650F">
        <w:trPr>
          <w:trHeight w:val="77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1B9F0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6E85C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CBF6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123.100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8A6A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-35.000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EC18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88.100</w:t>
            </w:r>
          </w:p>
        </w:tc>
      </w:tr>
      <w:tr w:rsidR="000E650F" w:rsidRPr="000E650F" w14:paraId="78A76732" w14:textId="77777777" w:rsidTr="000E650F">
        <w:trPr>
          <w:trHeight w:val="81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2986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E61F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12EC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2.290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D41C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1E1F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2.290</w:t>
            </w:r>
          </w:p>
        </w:tc>
      </w:tr>
      <w:tr w:rsidR="000E650F" w:rsidRPr="000E650F" w14:paraId="04877DB3" w14:textId="77777777" w:rsidTr="000E650F">
        <w:trPr>
          <w:trHeight w:val="39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EE386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B56FC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4CA1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93484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900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057D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1.000</w:t>
            </w:r>
          </w:p>
        </w:tc>
      </w:tr>
      <w:tr w:rsidR="000E650F" w:rsidRPr="000E650F" w14:paraId="330E9A24" w14:textId="77777777" w:rsidTr="000E650F">
        <w:trPr>
          <w:trHeight w:val="135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DE948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B6445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813B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4B04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BEA7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110</w:t>
            </w:r>
          </w:p>
        </w:tc>
      </w:tr>
      <w:tr w:rsidR="000E650F" w:rsidRPr="000E650F" w14:paraId="2C3A1786" w14:textId="77777777" w:rsidTr="000E650F">
        <w:trPr>
          <w:trHeight w:val="253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C38C9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B4B76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AE2E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215.232.681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FADA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8.396.496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4E10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223.629.177</w:t>
            </w:r>
          </w:p>
        </w:tc>
      </w:tr>
      <w:tr w:rsidR="000E650F" w:rsidRPr="000E650F" w14:paraId="03C3EC19" w14:textId="77777777" w:rsidTr="000E650F">
        <w:trPr>
          <w:trHeight w:val="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52FD1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85159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596C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215.232.681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71DA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8.396.496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47C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223.629.177</w:t>
            </w:r>
          </w:p>
        </w:tc>
      </w:tr>
      <w:tr w:rsidR="000E650F" w:rsidRPr="000E650F" w14:paraId="58E6FBAC" w14:textId="77777777" w:rsidTr="000E650F">
        <w:trPr>
          <w:trHeight w:val="11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53B26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ADFE6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C2BC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125.746.601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87E7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2.822.638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8306F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128.569.239</w:t>
            </w:r>
          </w:p>
        </w:tc>
      </w:tr>
      <w:tr w:rsidR="000E650F" w:rsidRPr="000E650F" w14:paraId="3AA81E22" w14:textId="77777777" w:rsidTr="000E650F">
        <w:trPr>
          <w:trHeight w:val="25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1DE4F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A5AF5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0562D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89.412.677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6C8C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3.547.358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1384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92.960.035</w:t>
            </w:r>
          </w:p>
        </w:tc>
      </w:tr>
      <w:tr w:rsidR="000E650F" w:rsidRPr="000E650F" w14:paraId="378B61CE" w14:textId="77777777" w:rsidTr="000E650F">
        <w:trPr>
          <w:trHeight w:val="122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8D63E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FE4D6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AB73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14.500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2974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1.891.000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2A61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1.905.500</w:t>
            </w:r>
          </w:p>
        </w:tc>
      </w:tr>
      <w:tr w:rsidR="000E650F" w:rsidRPr="000E650F" w14:paraId="7CDAA2CD" w14:textId="77777777" w:rsidTr="000E650F">
        <w:trPr>
          <w:trHeight w:val="57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3E94F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A74DB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1EAD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22.000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A5E6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78.000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415F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100.000</w:t>
            </w:r>
          </w:p>
        </w:tc>
      </w:tr>
      <w:tr w:rsidR="000E650F" w:rsidRPr="000E650F" w14:paraId="2FD656DA" w14:textId="77777777" w:rsidTr="000E650F">
        <w:trPr>
          <w:trHeight w:val="116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49405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F8644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C19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36.903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64E8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57.500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F1DC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94.403</w:t>
            </w:r>
          </w:p>
        </w:tc>
      </w:tr>
      <w:tr w:rsidR="000E650F" w:rsidRPr="000E650F" w14:paraId="700D9E12" w14:textId="77777777" w:rsidTr="000E650F">
        <w:trPr>
          <w:trHeight w:val="12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B0D4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2815E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9D082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89.704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F18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109.471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B960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199.175</w:t>
            </w:r>
          </w:p>
        </w:tc>
      </w:tr>
      <w:tr w:rsidR="000E650F" w:rsidRPr="000E650F" w14:paraId="609E48D4" w14:textId="77777777" w:rsidTr="000E650F">
        <w:trPr>
          <w:trHeight w:val="10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5FEAA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7AFC7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F2DF9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89.704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38AA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109.471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A7F9C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199.175</w:t>
            </w:r>
          </w:p>
        </w:tc>
      </w:tr>
      <w:tr w:rsidR="000E650F" w:rsidRPr="000E650F" w14:paraId="0DF46F69" w14:textId="77777777" w:rsidTr="000E650F">
        <w:trPr>
          <w:trHeight w:val="9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CDFF5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885E9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5EF3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59.652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629C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89.497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991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149.149</w:t>
            </w:r>
          </w:p>
        </w:tc>
      </w:tr>
      <w:tr w:rsidR="000E650F" w:rsidRPr="000E650F" w14:paraId="00020563" w14:textId="77777777" w:rsidTr="000E650F">
        <w:trPr>
          <w:trHeight w:val="89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2D75F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D5B9C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0528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27.397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9E8D1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19.975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7E7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47.372</w:t>
            </w:r>
          </w:p>
        </w:tc>
      </w:tr>
      <w:tr w:rsidR="000E650F" w:rsidRPr="000E650F" w14:paraId="65B3B613" w14:textId="77777777" w:rsidTr="000E650F">
        <w:trPr>
          <w:trHeight w:val="376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54C21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66B6D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4095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2.655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7392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-1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8723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2.654</w:t>
            </w:r>
          </w:p>
        </w:tc>
      </w:tr>
      <w:tr w:rsidR="000E650F" w:rsidRPr="000E650F" w14:paraId="29B49419" w14:textId="77777777" w:rsidTr="000E650F">
        <w:trPr>
          <w:trHeight w:val="6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CD2FD" w14:textId="77777777" w:rsidR="000E650F" w:rsidRPr="000E650F" w:rsidRDefault="000E650F" w:rsidP="000E650F">
            <w:pPr>
              <w:spacing w:after="0" w:line="240" w:lineRule="auto"/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716D2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320C7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D2565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113.000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068E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123.000</w:t>
            </w:r>
          </w:p>
        </w:tc>
      </w:tr>
      <w:tr w:rsidR="000E650F" w:rsidRPr="000E650F" w14:paraId="3F6A4054" w14:textId="77777777" w:rsidTr="000E650F">
        <w:trPr>
          <w:trHeight w:val="147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24F70" w14:textId="77777777" w:rsidR="000E650F" w:rsidRPr="000E650F" w:rsidRDefault="000E650F" w:rsidP="000E650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E32AF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B49DA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D07B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113.000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DB0F3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123.000</w:t>
            </w:r>
          </w:p>
        </w:tc>
      </w:tr>
      <w:tr w:rsidR="000E650F" w:rsidRPr="000E650F" w14:paraId="0156EF5C" w14:textId="77777777" w:rsidTr="000E650F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BF7D" w14:textId="77777777" w:rsidR="000E650F" w:rsidRPr="000E650F" w:rsidRDefault="000E650F" w:rsidP="000E650F">
            <w:pPr>
              <w:spacing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0A9C" w14:textId="77777777" w:rsidR="000E650F" w:rsidRPr="000E650F" w:rsidRDefault="000E650F" w:rsidP="000E6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8C13E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10.000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0E56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113.000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4D688" w14:textId="77777777" w:rsidR="000E650F" w:rsidRPr="000E650F" w:rsidRDefault="000E650F" w:rsidP="000E65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50F">
              <w:rPr>
                <w:rFonts w:ascii="Calibri" w:eastAsia="Times New Roman" w:hAnsi="Calibri" w:cs="Calibri"/>
                <w:color w:val="000000"/>
                <w:lang w:eastAsia="hr-HR"/>
              </w:rPr>
              <w:t>123.000</w:t>
            </w:r>
          </w:p>
        </w:tc>
      </w:tr>
    </w:tbl>
    <w:p w14:paraId="79BB2056" w14:textId="77777777" w:rsidR="003F77F0" w:rsidRPr="00B726C0" w:rsidRDefault="003F77F0" w:rsidP="00AE7DB2">
      <w:pPr>
        <w:pStyle w:val="Odlomakpopisa"/>
        <w:ind w:left="1080"/>
        <w:rPr>
          <w:rFonts w:cstheme="minorHAnsi"/>
          <w:color w:val="2F5496" w:themeColor="accent1" w:themeShade="BF"/>
          <w:sz w:val="32"/>
          <w:szCs w:val="32"/>
        </w:rPr>
      </w:pPr>
    </w:p>
    <w:p w14:paraId="1AD4876B" w14:textId="77777777" w:rsidR="000F7043" w:rsidRDefault="000F7043" w:rsidP="00A075F9">
      <w:pPr>
        <w:ind w:left="1559"/>
        <w:rPr>
          <w:color w:val="2F5496" w:themeColor="accent1" w:themeShade="BF"/>
          <w:sz w:val="32"/>
          <w:szCs w:val="32"/>
        </w:rPr>
        <w:sectPr w:rsidR="000F7043" w:rsidSect="00573AAA">
          <w:pgSz w:w="11906" w:h="16838" w:code="9"/>
          <w:pgMar w:top="1077" w:right="1077" w:bottom="964" w:left="1191" w:header="680" w:footer="284" w:gutter="0"/>
          <w:pgBorders w:offsetFrom="page">
            <w:top w:val="double" w:sz="4" w:space="24" w:color="auto"/>
          </w:pgBorders>
          <w:cols w:space="708"/>
          <w:titlePg/>
          <w:docGrid w:linePitch="360"/>
        </w:sectPr>
      </w:pPr>
    </w:p>
    <w:p w14:paraId="665BD73B" w14:textId="77777777" w:rsidR="00A075F9" w:rsidRPr="00052FFF" w:rsidRDefault="00B726C0" w:rsidP="00E13213">
      <w:pPr>
        <w:pStyle w:val="Naslov1"/>
        <w:numPr>
          <w:ilvl w:val="0"/>
          <w:numId w:val="29"/>
        </w:numPr>
        <w:pBdr>
          <w:top w:val="double" w:sz="4" w:space="1" w:color="auto"/>
          <w:bottom w:val="double" w:sz="4" w:space="1" w:color="auto"/>
        </w:pBdr>
        <w:shd w:val="clear" w:color="auto" w:fill="D5DCE4" w:themeFill="text2" w:themeFillTint="33"/>
        <w:ind w:left="357" w:hanging="357"/>
      </w:pPr>
      <w:bookmarkStart w:id="6" w:name="_Toc116997201"/>
      <w:r w:rsidRPr="00967A5B">
        <w:lastRenderedPageBreak/>
        <w:t>OBRAZLOŽ</w:t>
      </w:r>
      <w:r w:rsidRPr="00052FFF">
        <w:t>ENJE POSEBNOG DIJELA</w:t>
      </w:r>
      <w:bookmarkEnd w:id="6"/>
    </w:p>
    <w:p w14:paraId="6C5CD796" w14:textId="77777777" w:rsidR="004650F2" w:rsidRDefault="004650F2" w:rsidP="004650F2">
      <w:pPr>
        <w:pStyle w:val="Odlomakpopisa"/>
        <w:ind w:left="1080"/>
        <w:rPr>
          <w:color w:val="2F5496" w:themeColor="accent1" w:themeShade="BF"/>
          <w:sz w:val="32"/>
          <w:szCs w:val="32"/>
        </w:rPr>
      </w:pPr>
    </w:p>
    <w:p w14:paraId="51AE86D9" w14:textId="77777777" w:rsidR="004650F2" w:rsidRPr="003A15B5" w:rsidRDefault="00C129CA" w:rsidP="008A585B">
      <w:pPr>
        <w:pStyle w:val="Odlomakpopisa"/>
        <w:numPr>
          <w:ilvl w:val="1"/>
          <w:numId w:val="31"/>
        </w:numPr>
        <w:ind w:left="720"/>
        <w:rPr>
          <w:sz w:val="28"/>
          <w:szCs w:val="28"/>
        </w:rPr>
      </w:pPr>
      <w:r w:rsidRPr="003A15B5">
        <w:rPr>
          <w:sz w:val="28"/>
          <w:szCs w:val="28"/>
        </w:rPr>
        <w:t>OBRAZLOŽENJE PROGRAMA</w:t>
      </w:r>
    </w:p>
    <w:tbl>
      <w:tblPr>
        <w:tblW w:w="8420" w:type="dxa"/>
        <w:jc w:val="center"/>
        <w:tblLook w:val="04A0" w:firstRow="1" w:lastRow="0" w:firstColumn="1" w:lastColumn="0" w:noHBand="0" w:noVBand="1"/>
      </w:tblPr>
      <w:tblGrid>
        <w:gridCol w:w="1013"/>
        <w:gridCol w:w="3655"/>
        <w:gridCol w:w="1617"/>
        <w:gridCol w:w="1506"/>
        <w:gridCol w:w="1617"/>
      </w:tblGrid>
      <w:tr w:rsidR="007829B7" w:rsidRPr="007829B7" w14:paraId="56929339" w14:textId="77777777" w:rsidTr="007829B7">
        <w:trPr>
          <w:trHeight w:val="412"/>
          <w:jc w:val="center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14:paraId="7401A496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5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14:paraId="7E1415A9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638FE84F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2CFF88A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Povećanje / smanjenje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F7E97CF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Novi plan 2025. </w:t>
            </w:r>
          </w:p>
        </w:tc>
      </w:tr>
      <w:tr w:rsidR="007829B7" w:rsidRPr="007829B7" w14:paraId="471156FF" w14:textId="77777777" w:rsidTr="007829B7">
        <w:trPr>
          <w:trHeight w:val="330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6E64B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26400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BD5C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Klinički bolnički centar Osijek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64C3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229.200.856,00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46DE0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12.145.100,00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E678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241.345.956,00</w:t>
            </w:r>
          </w:p>
        </w:tc>
      </w:tr>
      <w:tr w:rsidR="007829B7" w:rsidRPr="007829B7" w14:paraId="0DD2A4A7" w14:textId="77777777" w:rsidTr="007829B7">
        <w:trPr>
          <w:trHeight w:val="31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34076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3602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E82D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Investicije u zdravstvenu infrastrukturu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E32F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7.845.948,00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5DEF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3.422.233,00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38E30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11.268.181,00</w:t>
            </w:r>
          </w:p>
        </w:tc>
      </w:tr>
      <w:tr w:rsidR="007829B7" w:rsidRPr="007829B7" w14:paraId="28F73F22" w14:textId="77777777" w:rsidTr="007829B7">
        <w:trPr>
          <w:trHeight w:val="31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4CA5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K890002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35B3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Izravna kapitalna ulaganja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F31C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7.590.498,00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6644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2.992.899,00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2A87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10.583.397,00</w:t>
            </w:r>
          </w:p>
        </w:tc>
      </w:tr>
      <w:tr w:rsidR="007829B7" w:rsidRPr="007829B7" w14:paraId="754FF317" w14:textId="77777777" w:rsidTr="007829B7">
        <w:trPr>
          <w:trHeight w:val="31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B6C5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K890006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7EFB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Digitalna patologija i telemedicina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92DBC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255.450,00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7B3C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2.826,00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830A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258.276,00</w:t>
            </w:r>
          </w:p>
        </w:tc>
      </w:tr>
      <w:tr w:rsidR="007829B7" w:rsidRPr="007829B7" w14:paraId="4957F0D6" w14:textId="77777777" w:rsidTr="007829B7">
        <w:trPr>
          <w:trHeight w:val="52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BF1B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K890008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2B20" w14:textId="64378CBD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Jačanje otpornosti zdravstvenog sustava - NPOO C5.1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KBC Osijek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4CEE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2C4B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426.508,00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E6F4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426.508,00</w:t>
            </w:r>
          </w:p>
        </w:tc>
      </w:tr>
      <w:tr w:rsidR="007829B7" w:rsidRPr="007829B7" w14:paraId="60F0AC80" w14:textId="77777777" w:rsidTr="007829B7">
        <w:trPr>
          <w:trHeight w:val="31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258C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3605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439A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Sigurnost građana i pravo na zdravstvenu zaštitu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E3952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221.354.908,00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9D87B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8.722.867,00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AA6C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230.077.775,00</w:t>
            </w:r>
          </w:p>
        </w:tc>
      </w:tr>
      <w:tr w:rsidR="007829B7" w:rsidRPr="007829B7" w14:paraId="44230E15" w14:textId="77777777" w:rsidTr="007829B7">
        <w:trPr>
          <w:trHeight w:val="315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9E58" w14:textId="77777777" w:rsidR="007829B7" w:rsidRPr="007829B7" w:rsidRDefault="007829B7" w:rsidP="00782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A890001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4266" w14:textId="77777777" w:rsidR="007829B7" w:rsidRPr="007829B7" w:rsidRDefault="007829B7" w:rsidP="00782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383E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221.354.908,00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7FA9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8.722.867,00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47C4" w14:textId="77777777" w:rsidR="007829B7" w:rsidRPr="007829B7" w:rsidRDefault="007829B7" w:rsidP="007829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829B7">
              <w:rPr>
                <w:rFonts w:ascii="Calibri" w:eastAsia="Times New Roman" w:hAnsi="Calibri" w:cs="Calibri"/>
                <w:color w:val="000000"/>
                <w:lang w:eastAsia="hr-HR"/>
              </w:rPr>
              <w:t>230.077.775,00</w:t>
            </w:r>
          </w:p>
        </w:tc>
      </w:tr>
    </w:tbl>
    <w:p w14:paraId="3F12B1AE" w14:textId="77777777" w:rsidR="001C4EA5" w:rsidRDefault="001C4EA5" w:rsidP="0081288B">
      <w:pPr>
        <w:ind w:left="720"/>
        <w:rPr>
          <w:color w:val="2F5496" w:themeColor="accent1" w:themeShade="BF"/>
          <w:sz w:val="28"/>
          <w:szCs w:val="28"/>
        </w:rPr>
      </w:pPr>
    </w:p>
    <w:p w14:paraId="70A9C5A0" w14:textId="4415D997" w:rsidR="00D50457" w:rsidRDefault="00D50457" w:rsidP="00D0499C">
      <w:pPr>
        <w:shd w:val="clear" w:color="auto" w:fill="D5DCE4" w:themeFill="text2" w:themeFillTint="33"/>
        <w:rPr>
          <w:sz w:val="28"/>
          <w:szCs w:val="28"/>
        </w:rPr>
      </w:pPr>
      <w:r w:rsidRPr="009C5FB3">
        <w:rPr>
          <w:sz w:val="28"/>
          <w:szCs w:val="28"/>
        </w:rPr>
        <w:t xml:space="preserve">3602 </w:t>
      </w:r>
      <w:r w:rsidR="00C129CA" w:rsidRPr="009C5FB3">
        <w:rPr>
          <w:sz w:val="28"/>
          <w:szCs w:val="28"/>
        </w:rPr>
        <w:t>INVESTICIJE U ZDRAVSTVENU INFRASTRUKTURU</w:t>
      </w:r>
    </w:p>
    <w:p w14:paraId="15496115" w14:textId="77777777" w:rsidR="00FC4026" w:rsidRPr="009C5FB3" w:rsidRDefault="00FC4026" w:rsidP="00FC4026">
      <w:pPr>
        <w:rPr>
          <w:sz w:val="28"/>
          <w:szCs w:val="28"/>
        </w:rPr>
      </w:pPr>
    </w:p>
    <w:p w14:paraId="3A83914C" w14:textId="39AAD03C" w:rsidR="00D50457" w:rsidRDefault="00D50457" w:rsidP="009C5FB3">
      <w:pPr>
        <w:pBdr>
          <w:top w:val="double" w:sz="4" w:space="1" w:color="auto"/>
          <w:bottom w:val="double" w:sz="4" w:space="1" w:color="auto"/>
        </w:pBdr>
        <w:rPr>
          <w:b/>
          <w:sz w:val="28"/>
          <w:szCs w:val="28"/>
        </w:rPr>
      </w:pPr>
      <w:bookmarkStart w:id="7" w:name="_Hlk89949970"/>
      <w:r w:rsidRPr="00B75DFE">
        <w:rPr>
          <w:b/>
          <w:sz w:val="28"/>
          <w:szCs w:val="28"/>
        </w:rPr>
        <w:t>K890002 KBC Osijek - izravna kapitalna ulaganja</w:t>
      </w:r>
    </w:p>
    <w:bookmarkEnd w:id="7"/>
    <w:p w14:paraId="148461D3" w14:textId="74AF8DC5" w:rsidR="006F3C9B" w:rsidRPr="005D5531" w:rsidRDefault="006F3C9B" w:rsidP="006F3C9B">
      <w:pPr>
        <w:spacing w:line="0" w:lineRule="atLeast"/>
        <w:ind w:left="680"/>
        <w:contextualSpacing/>
        <w:rPr>
          <w:lang w:eastAsia="x-none"/>
        </w:rPr>
      </w:pPr>
      <w:r>
        <w:rPr>
          <w:b/>
          <w:lang w:eastAsia="x-none"/>
        </w:rPr>
        <w:t xml:space="preserve">Planirana </w:t>
      </w:r>
      <w:r w:rsidRPr="001B28A3">
        <w:rPr>
          <w:b/>
          <w:lang w:eastAsia="x-none"/>
        </w:rPr>
        <w:t xml:space="preserve"> sredstva</w:t>
      </w:r>
      <w:r>
        <w:rPr>
          <w:b/>
          <w:lang w:eastAsia="x-none"/>
        </w:rPr>
        <w:t xml:space="preserve"> za 202</w:t>
      </w:r>
      <w:r w:rsidR="00466634">
        <w:rPr>
          <w:b/>
          <w:lang w:eastAsia="x-none"/>
        </w:rPr>
        <w:t>5</w:t>
      </w:r>
      <w:r w:rsidRPr="005D5531">
        <w:rPr>
          <w:b/>
          <w:lang w:eastAsia="x-none"/>
        </w:rPr>
        <w:t>:</w:t>
      </w:r>
      <w:r w:rsidRPr="005D5531">
        <w:rPr>
          <w:lang w:eastAsia="x-none"/>
        </w:rPr>
        <w:t xml:space="preserve">  </w:t>
      </w:r>
      <w:r>
        <w:rPr>
          <w:lang w:eastAsia="x-none"/>
        </w:rPr>
        <w:t xml:space="preserve"> </w:t>
      </w:r>
      <w:r w:rsidR="00466634">
        <w:rPr>
          <w:lang w:eastAsia="x-none"/>
        </w:rPr>
        <w:t xml:space="preserve"> 7.590.498</w:t>
      </w:r>
      <w:r>
        <w:rPr>
          <w:lang w:eastAsia="x-none"/>
        </w:rPr>
        <w:t xml:space="preserve"> EUR</w:t>
      </w:r>
    </w:p>
    <w:p w14:paraId="35A9A0BD" w14:textId="30E7A1B2" w:rsidR="006F3C9B" w:rsidRDefault="006F3C9B" w:rsidP="006F3C9B">
      <w:pPr>
        <w:spacing w:line="0" w:lineRule="atLeast"/>
        <w:ind w:left="680"/>
        <w:contextualSpacing/>
        <w:rPr>
          <w:lang w:eastAsia="x-none"/>
        </w:rPr>
      </w:pPr>
      <w:r w:rsidRPr="005D5531">
        <w:rPr>
          <w:b/>
          <w:lang w:eastAsia="x-none"/>
        </w:rPr>
        <w:t>1.rebalans 202</w:t>
      </w:r>
      <w:r w:rsidR="00466634">
        <w:rPr>
          <w:b/>
          <w:lang w:eastAsia="x-none"/>
        </w:rPr>
        <w:t>5</w:t>
      </w:r>
      <w:r w:rsidRPr="005D5531">
        <w:rPr>
          <w:lang w:eastAsia="x-none"/>
        </w:rPr>
        <w:t xml:space="preserve">.:                     </w:t>
      </w:r>
      <w:r w:rsidR="00466634">
        <w:rPr>
          <w:lang w:eastAsia="x-none"/>
        </w:rPr>
        <w:t>10</w:t>
      </w:r>
      <w:r w:rsidR="006A170D">
        <w:rPr>
          <w:lang w:eastAsia="x-none"/>
        </w:rPr>
        <w:t>.</w:t>
      </w:r>
      <w:r w:rsidR="00466634">
        <w:rPr>
          <w:lang w:eastAsia="x-none"/>
        </w:rPr>
        <w:t>583.397</w:t>
      </w:r>
      <w:r>
        <w:rPr>
          <w:lang w:eastAsia="x-none"/>
        </w:rPr>
        <w:t xml:space="preserve"> EUR</w:t>
      </w:r>
    </w:p>
    <w:p w14:paraId="4FE37F17" w14:textId="115F9021" w:rsidR="006F3C9B" w:rsidRDefault="006F3C9B" w:rsidP="006F3C9B">
      <w:pPr>
        <w:spacing w:line="0" w:lineRule="atLeast"/>
        <w:ind w:left="680"/>
        <w:contextualSpacing/>
        <w:rPr>
          <w:lang w:eastAsia="x-none"/>
        </w:rPr>
      </w:pPr>
      <w:r w:rsidRPr="005D5531">
        <w:rPr>
          <w:b/>
          <w:lang w:eastAsia="x-none"/>
        </w:rPr>
        <w:t>Povećanje/smanjenje:</w:t>
      </w:r>
      <w:r w:rsidRPr="005D5531">
        <w:rPr>
          <w:lang w:eastAsia="x-none"/>
        </w:rPr>
        <w:t xml:space="preserve">             </w:t>
      </w:r>
      <w:r>
        <w:rPr>
          <w:lang w:eastAsia="x-none"/>
        </w:rPr>
        <w:t xml:space="preserve"> </w:t>
      </w:r>
      <w:r w:rsidR="006A170D">
        <w:rPr>
          <w:lang w:eastAsia="x-none"/>
        </w:rPr>
        <w:t>2.9</w:t>
      </w:r>
      <w:r w:rsidR="00466634">
        <w:rPr>
          <w:lang w:eastAsia="x-none"/>
        </w:rPr>
        <w:t>92</w:t>
      </w:r>
      <w:r w:rsidR="006A170D">
        <w:rPr>
          <w:lang w:eastAsia="x-none"/>
        </w:rPr>
        <w:t>.</w:t>
      </w:r>
      <w:r w:rsidR="00466634">
        <w:rPr>
          <w:lang w:eastAsia="x-none"/>
        </w:rPr>
        <w:t>899</w:t>
      </w:r>
      <w:r>
        <w:rPr>
          <w:lang w:eastAsia="x-none"/>
        </w:rPr>
        <w:t xml:space="preserve"> EUR</w:t>
      </w:r>
    </w:p>
    <w:p w14:paraId="658F6EE5" w14:textId="6A949D56" w:rsidR="006F3C9B" w:rsidRDefault="006F3C9B" w:rsidP="006F3C9B">
      <w:pPr>
        <w:pStyle w:val="Odlomakpopisa"/>
        <w:spacing w:after="100" w:afterAutospacing="1" w:line="0" w:lineRule="atLeast"/>
        <w:ind w:left="680"/>
        <w:jc w:val="both"/>
      </w:pPr>
      <w:r>
        <w:t xml:space="preserve">Obzirom na izvore financiranja </w:t>
      </w:r>
      <w:r w:rsidR="00B77DCB">
        <w:t>za</w:t>
      </w:r>
      <w:r>
        <w:t xml:space="preserve"> provođenje aktivnosti korigirano je kako slijedi:</w:t>
      </w:r>
      <w:r w:rsidRPr="00325884">
        <w:t xml:space="preserve"> </w:t>
      </w:r>
    </w:p>
    <w:p w14:paraId="4A9E235A" w14:textId="77777777" w:rsidR="006F3C9B" w:rsidRPr="00042DC8" w:rsidRDefault="006F3C9B" w:rsidP="006F3C9B">
      <w:pPr>
        <w:pStyle w:val="Odlomakpopisa"/>
        <w:spacing w:after="100" w:afterAutospacing="1" w:line="0" w:lineRule="atLeast"/>
        <w:ind w:left="680"/>
        <w:jc w:val="both"/>
      </w:pPr>
    </w:p>
    <w:p w14:paraId="2FBF1D92" w14:textId="62A7C454" w:rsidR="006F3C9B" w:rsidRPr="00F01487" w:rsidRDefault="006F3C9B" w:rsidP="006F3C9B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  <w:rPr>
          <w:highlight w:val="yellow"/>
        </w:rPr>
      </w:pPr>
      <w:r w:rsidRPr="002D57A8">
        <w:t>I</w:t>
      </w:r>
      <w:r w:rsidRPr="00042DC8">
        <w:t xml:space="preserve">zvor 11: </w:t>
      </w:r>
      <w:r w:rsidR="0099262E" w:rsidRPr="00042DC8">
        <w:t>smanjen je za 720.239</w:t>
      </w:r>
      <w:r w:rsidR="00E16F56" w:rsidRPr="00042DC8">
        <w:t xml:space="preserve"> EUR</w:t>
      </w:r>
      <w:r w:rsidR="004942EB" w:rsidRPr="00042DC8">
        <w:t xml:space="preserve"> i iznosi </w:t>
      </w:r>
      <w:r w:rsidR="0099262E" w:rsidRPr="00042DC8">
        <w:t>5.098.556</w:t>
      </w:r>
      <w:r w:rsidR="004942EB" w:rsidRPr="00042DC8">
        <w:t xml:space="preserve"> EUR</w:t>
      </w:r>
      <w:r w:rsidR="00790426" w:rsidRPr="00042DC8">
        <w:t>. Povećanje je planirano</w:t>
      </w:r>
      <w:r w:rsidR="004942EB" w:rsidRPr="00042DC8">
        <w:t xml:space="preserve"> na pozicij</w:t>
      </w:r>
      <w:r w:rsidR="00320C73">
        <w:t>ama</w:t>
      </w:r>
      <w:r w:rsidR="004942EB" w:rsidRPr="00042DC8">
        <w:t xml:space="preserve"> </w:t>
      </w:r>
      <w:r w:rsidR="00EE4043" w:rsidRPr="00042DC8">
        <w:t>Licence u iznosu 129.900 EUR za uslug</w:t>
      </w:r>
      <w:r w:rsidR="00320C73">
        <w:t>u</w:t>
      </w:r>
      <w:r w:rsidR="00EE4043" w:rsidRPr="00042DC8">
        <w:t xml:space="preserve"> nadogradnje licence aplikativnog sustava za centralnu </w:t>
      </w:r>
      <w:r w:rsidR="00EE4043" w:rsidRPr="002D57A8">
        <w:t>pripravu citostatika, Dodatna ulaganja na građevinskim objektima u iznosu 49.861 EUR</w:t>
      </w:r>
      <w:r w:rsidR="003D7B6F" w:rsidRPr="002D57A8">
        <w:t>.</w:t>
      </w:r>
      <w:r w:rsidR="003D7B6F">
        <w:t xml:space="preserve"> Pozicija Medicinska i laboratorijska oprema smanjena je za 900.000 EUR sukladno uputi MZ-a </w:t>
      </w:r>
      <w:r w:rsidR="003D7B6F" w:rsidRPr="00A16A44">
        <w:t xml:space="preserve">za onaj dio </w:t>
      </w:r>
      <w:r w:rsidR="00EE4043" w:rsidRPr="00A16A44">
        <w:t xml:space="preserve"> </w:t>
      </w:r>
      <w:r w:rsidR="003D7B6F" w:rsidRPr="00A16A44">
        <w:t>nabavki koje će biti realizirane tijekom 2025. ali će biti plaćene tijekom 2026.</w:t>
      </w:r>
      <w:r w:rsidR="003D7B6F">
        <w:t xml:space="preserve"> (operacijski mikroskop 400.000 EUR, parni sterilizator 100.000 EUR, plazma sterilizator 130.000 EUR, uređaj za </w:t>
      </w:r>
      <w:proofErr w:type="spellStart"/>
      <w:r w:rsidR="003D7B6F">
        <w:t>elektrofiziologiju</w:t>
      </w:r>
      <w:proofErr w:type="spellEnd"/>
      <w:r w:rsidR="003D7B6F">
        <w:t xml:space="preserve"> 200.000 EUR, </w:t>
      </w:r>
      <w:proofErr w:type="spellStart"/>
      <w:r w:rsidR="003D7B6F">
        <w:t>litotriptor</w:t>
      </w:r>
      <w:proofErr w:type="spellEnd"/>
      <w:r w:rsidR="003D7B6F">
        <w:t xml:space="preserve"> 70.000 EUR).</w:t>
      </w:r>
    </w:p>
    <w:p w14:paraId="51DE36C4" w14:textId="179B3DFD" w:rsidR="006F3C9B" w:rsidRPr="004942EB" w:rsidRDefault="006F3C9B" w:rsidP="006F3C9B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4942EB">
        <w:t xml:space="preserve">Izvor 31: </w:t>
      </w:r>
      <w:r w:rsidR="0098678C" w:rsidRPr="004942EB">
        <w:t xml:space="preserve">povećan je za </w:t>
      </w:r>
      <w:r w:rsidR="00C049C1">
        <w:t>1.157.197</w:t>
      </w:r>
      <w:r w:rsidR="004942EB" w:rsidRPr="004942EB">
        <w:t xml:space="preserve"> EUR</w:t>
      </w:r>
      <w:r w:rsidR="00790426">
        <w:t xml:space="preserve"> (osnovom donosa u iznosu </w:t>
      </w:r>
      <w:r w:rsidR="00091637">
        <w:t>51.929</w:t>
      </w:r>
      <w:r w:rsidR="00790426">
        <w:t xml:space="preserve"> EUR</w:t>
      </w:r>
      <w:r w:rsidR="00320C73">
        <w:t>,</w:t>
      </w:r>
      <w:r w:rsidR="00790426">
        <w:t xml:space="preserve"> više ostvarenih prihoda u iznosu </w:t>
      </w:r>
      <w:r w:rsidR="00091637">
        <w:t>1.105.268</w:t>
      </w:r>
      <w:r w:rsidR="00790426">
        <w:t xml:space="preserve"> EUR)</w:t>
      </w:r>
      <w:r w:rsidR="0098678C" w:rsidRPr="004942EB">
        <w:t xml:space="preserve">, te iznosi </w:t>
      </w:r>
      <w:r w:rsidR="00C049C1">
        <w:t>2.628.880</w:t>
      </w:r>
      <w:r w:rsidR="0098678C" w:rsidRPr="004942EB">
        <w:t xml:space="preserve"> EUR</w:t>
      </w:r>
      <w:r w:rsidR="00F267FC" w:rsidRPr="004942EB">
        <w:t xml:space="preserve">. Povećanje se odnosi na pozicije Licence, </w:t>
      </w:r>
      <w:r w:rsidR="004942EB" w:rsidRPr="004942EB">
        <w:t>Građevinski objekti,</w:t>
      </w:r>
      <w:r w:rsidR="00F267FC" w:rsidRPr="004942EB">
        <w:t xml:space="preserve"> Postrojenja i oprema, </w:t>
      </w:r>
      <w:r w:rsidR="00091637">
        <w:t xml:space="preserve">Knjige, </w:t>
      </w:r>
      <w:r w:rsidR="00F267FC" w:rsidRPr="004942EB">
        <w:t>te Dodatna ulaganja na građevinskim objektima.</w:t>
      </w:r>
    </w:p>
    <w:p w14:paraId="5D3192AB" w14:textId="61A3D3D6" w:rsidR="006F3C9B" w:rsidRDefault="006F3C9B" w:rsidP="006F3C9B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D3517A">
        <w:t>Izvor 52:</w:t>
      </w:r>
      <w:r w:rsidRPr="00A83770">
        <w:t xml:space="preserve"> </w:t>
      </w:r>
      <w:r w:rsidR="0098678C" w:rsidRPr="00A83770">
        <w:t xml:space="preserve">povećan je za </w:t>
      </w:r>
      <w:r w:rsidR="007D4BB8">
        <w:t>1.761.804</w:t>
      </w:r>
      <w:r w:rsidR="0098678C" w:rsidRPr="00A83770">
        <w:t xml:space="preserve"> EUR</w:t>
      </w:r>
      <w:r w:rsidR="00790426">
        <w:t xml:space="preserve"> (osnovom donosa za </w:t>
      </w:r>
      <w:r w:rsidR="00D3517A">
        <w:t>506</w:t>
      </w:r>
      <w:r w:rsidR="00790426">
        <w:t>.</w:t>
      </w:r>
      <w:r w:rsidR="00D3517A">
        <w:t>227</w:t>
      </w:r>
      <w:r w:rsidR="00790426">
        <w:t xml:space="preserve"> EUR</w:t>
      </w:r>
      <w:r w:rsidR="00320C73">
        <w:t>,</w:t>
      </w:r>
      <w:r w:rsidR="00D3517A">
        <w:t xml:space="preserve"> </w:t>
      </w:r>
      <w:r w:rsidR="00790426">
        <w:t xml:space="preserve">više </w:t>
      </w:r>
      <w:r w:rsidR="008614B8">
        <w:t>ostvarenih</w:t>
      </w:r>
      <w:r w:rsidR="00790426">
        <w:t xml:space="preserve"> prihoda </w:t>
      </w:r>
      <w:r w:rsidR="008614B8">
        <w:t>u iznosu</w:t>
      </w:r>
      <w:r w:rsidR="00790426">
        <w:t xml:space="preserve"> </w:t>
      </w:r>
      <w:r w:rsidR="00D3517A">
        <w:t>1.255.577</w:t>
      </w:r>
      <w:r w:rsidR="00790426">
        <w:t xml:space="preserve"> EUR)</w:t>
      </w:r>
      <w:r w:rsidR="0098678C" w:rsidRPr="00A83770">
        <w:t xml:space="preserve">, te iznosi </w:t>
      </w:r>
      <w:r w:rsidR="00D3517A">
        <w:t>1.773.804</w:t>
      </w:r>
      <w:r w:rsidR="0098678C" w:rsidRPr="00A83770">
        <w:t xml:space="preserve"> EUR</w:t>
      </w:r>
      <w:r w:rsidR="00F267FC" w:rsidRPr="00A83770">
        <w:t>. Povećanje se odnosi na pozicij</w:t>
      </w:r>
      <w:r w:rsidR="00D3517A">
        <w:t>e</w:t>
      </w:r>
      <w:r w:rsidR="00F267FC" w:rsidRPr="00A83770">
        <w:t xml:space="preserve"> </w:t>
      </w:r>
      <w:r w:rsidR="00D3517A">
        <w:t xml:space="preserve">Poslovni objekti, te Dodatna ulaganja na građevinskim objektima. </w:t>
      </w:r>
    </w:p>
    <w:p w14:paraId="771F9AE4" w14:textId="3EBABFC3" w:rsidR="00A83770" w:rsidRPr="00A83770" w:rsidRDefault="00A83770" w:rsidP="006F3C9B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7021C1">
        <w:t>Izvor 581:</w:t>
      </w:r>
      <w:r w:rsidR="000B14E5">
        <w:t xml:space="preserve"> </w:t>
      </w:r>
      <w:r w:rsidR="007021C1">
        <w:t xml:space="preserve">nije korigiran, te </w:t>
      </w:r>
      <w:r w:rsidR="000B14E5">
        <w:t xml:space="preserve">iznosi 263.251 EUR </w:t>
      </w:r>
      <w:r w:rsidR="00790426" w:rsidRPr="00790426">
        <w:t>osnovom  Odlu</w:t>
      </w:r>
      <w:r w:rsidR="00790426">
        <w:t>ke</w:t>
      </w:r>
      <w:r w:rsidR="00790426" w:rsidRPr="00790426">
        <w:t xml:space="preserve"> MZ-a od 06.12.2023. za projekt "Centralna priprava svih </w:t>
      </w:r>
      <w:proofErr w:type="spellStart"/>
      <w:r w:rsidR="00790426" w:rsidRPr="00790426">
        <w:t>parenteralnih</w:t>
      </w:r>
      <w:proofErr w:type="spellEnd"/>
      <w:r w:rsidR="00790426" w:rsidRPr="00790426">
        <w:t xml:space="preserve"> pripravaka"</w:t>
      </w:r>
      <w:r w:rsidR="00790426">
        <w:t>. Planirano se odnosi na</w:t>
      </w:r>
      <w:r w:rsidR="000B14E5">
        <w:t xml:space="preserve"> pozicij</w:t>
      </w:r>
      <w:r w:rsidR="00790426">
        <w:t>u</w:t>
      </w:r>
      <w:r w:rsidR="000B14E5">
        <w:t xml:space="preserve"> Dodatna ulaganja na građevinskim objektima.</w:t>
      </w:r>
    </w:p>
    <w:p w14:paraId="51D48383" w14:textId="550A6CFD" w:rsidR="006F3C9B" w:rsidRPr="000B14E5" w:rsidRDefault="006F3C9B" w:rsidP="006F3C9B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7021C1">
        <w:t>Izvor 61:</w:t>
      </w:r>
      <w:r w:rsidRPr="000B14E5">
        <w:t xml:space="preserve"> </w:t>
      </w:r>
      <w:r w:rsidR="0098678C" w:rsidRPr="000B14E5">
        <w:t xml:space="preserve">povećan je za </w:t>
      </w:r>
      <w:r w:rsidR="007021C1">
        <w:t>734.107</w:t>
      </w:r>
      <w:r w:rsidR="0098678C" w:rsidRPr="000B14E5">
        <w:t xml:space="preserve"> EUR</w:t>
      </w:r>
      <w:r w:rsidR="00790426">
        <w:t xml:space="preserve"> (osnovom donosa u iznosu </w:t>
      </w:r>
      <w:r w:rsidR="007021C1">
        <w:t>514.607</w:t>
      </w:r>
      <w:r w:rsidR="00790426">
        <w:t xml:space="preserve"> EUR</w:t>
      </w:r>
      <w:r w:rsidR="00320C73">
        <w:t>,</w:t>
      </w:r>
      <w:r w:rsidR="007021C1">
        <w:t xml:space="preserve"> </w:t>
      </w:r>
      <w:r w:rsidR="00790426">
        <w:t xml:space="preserve">više ostvarenih prihoda u iznosu </w:t>
      </w:r>
      <w:r w:rsidR="007021C1">
        <w:t>219.500</w:t>
      </w:r>
      <w:r w:rsidR="00790426">
        <w:t xml:space="preserve"> EUR)</w:t>
      </w:r>
      <w:r w:rsidR="0098678C" w:rsidRPr="000B14E5">
        <w:t xml:space="preserve">, te iznosi </w:t>
      </w:r>
      <w:r w:rsidR="007021C1">
        <w:t>758.107</w:t>
      </w:r>
      <w:r w:rsidR="0098678C" w:rsidRPr="000B14E5">
        <w:t xml:space="preserve"> EUR</w:t>
      </w:r>
      <w:r w:rsidR="00F267FC" w:rsidRPr="000B14E5">
        <w:t>. Povećanje se odnosi na pozicij</w:t>
      </w:r>
      <w:r w:rsidR="000B14E5" w:rsidRPr="000B14E5">
        <w:t xml:space="preserve">e Postrojenja i oprema,  te Dodatna ulaganja na građevinskim objektima. </w:t>
      </w:r>
      <w:r w:rsidR="00F267FC" w:rsidRPr="000B14E5">
        <w:t xml:space="preserve"> </w:t>
      </w:r>
    </w:p>
    <w:p w14:paraId="60C606D0" w14:textId="7B444D92" w:rsidR="006F3C9B" w:rsidRPr="0089794C" w:rsidRDefault="006F3C9B" w:rsidP="006F3C9B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89794C">
        <w:lastRenderedPageBreak/>
        <w:t xml:space="preserve">Izvor 71: </w:t>
      </w:r>
      <w:r w:rsidR="0098678C" w:rsidRPr="0089794C">
        <w:t xml:space="preserve">povećan je za </w:t>
      </w:r>
      <w:r w:rsidR="007021C1">
        <w:t>60.030</w:t>
      </w:r>
      <w:r w:rsidR="0098678C" w:rsidRPr="0089794C">
        <w:t xml:space="preserve"> EUR</w:t>
      </w:r>
      <w:r w:rsidR="00790426">
        <w:t xml:space="preserve"> </w:t>
      </w:r>
      <w:r w:rsidR="007021C1">
        <w:t>(</w:t>
      </w:r>
      <w:r w:rsidR="00790426">
        <w:t>osnovom donosa</w:t>
      </w:r>
      <w:r w:rsidR="007021C1">
        <w:t xml:space="preserve"> za 24.380 EUR</w:t>
      </w:r>
      <w:r w:rsidR="00320C73">
        <w:t>,</w:t>
      </w:r>
      <w:r w:rsidR="007021C1">
        <w:t xml:space="preserve"> više ostvarenih prihoda u iznosu 35.650 EUR)</w:t>
      </w:r>
      <w:r w:rsidR="00320C73">
        <w:t xml:space="preserve">, </w:t>
      </w:r>
      <w:r w:rsidR="007021C1">
        <w:t xml:space="preserve"> te</w:t>
      </w:r>
      <w:r w:rsidR="0098678C" w:rsidRPr="0089794C">
        <w:t xml:space="preserve"> iznosi </w:t>
      </w:r>
      <w:r w:rsidR="007021C1">
        <w:t>60.798</w:t>
      </w:r>
      <w:r w:rsidR="0098678C" w:rsidRPr="0089794C">
        <w:t xml:space="preserve"> EUR</w:t>
      </w:r>
      <w:r w:rsidR="00F267FC" w:rsidRPr="0089794C">
        <w:t>. Povećanje je planirano na pozicij</w:t>
      </w:r>
      <w:r w:rsidR="0089794C" w:rsidRPr="0089794C">
        <w:t xml:space="preserve">ama </w:t>
      </w:r>
      <w:r w:rsidR="007021C1">
        <w:t>Postrojenja i oprema</w:t>
      </w:r>
      <w:r w:rsidR="0089794C" w:rsidRPr="0089794C">
        <w:t xml:space="preserve">, te </w:t>
      </w:r>
      <w:r w:rsidR="00F267FC" w:rsidRPr="0089794C">
        <w:t xml:space="preserve"> Dodatna ulaganja na građevinskim objektima.</w:t>
      </w:r>
    </w:p>
    <w:p w14:paraId="28004BAE" w14:textId="77777777" w:rsidR="006F3C9B" w:rsidRPr="00C92A4D" w:rsidRDefault="006F3C9B" w:rsidP="006F3C9B">
      <w:pPr>
        <w:pStyle w:val="Odlomakpopisa"/>
        <w:spacing w:after="100" w:afterAutospacing="1" w:line="0" w:lineRule="atLeast"/>
        <w:ind w:left="1400"/>
        <w:jc w:val="both"/>
      </w:pPr>
    </w:p>
    <w:p w14:paraId="2E641E31" w14:textId="77777777" w:rsidR="006F3C9B" w:rsidRDefault="006F3C9B" w:rsidP="006F3C9B">
      <w:pPr>
        <w:pStyle w:val="Odlomakpopisa"/>
        <w:spacing w:after="100" w:afterAutospacing="1" w:line="0" w:lineRule="atLeast"/>
        <w:ind w:left="680"/>
        <w:jc w:val="both"/>
      </w:pPr>
      <w:r w:rsidRPr="00C92A4D">
        <w:t>Struktura rashoda po izvorima korigirana je sukladno dosadašnjem izvršenju, te projekciji</w:t>
      </w:r>
      <w:r w:rsidRPr="007C10C3">
        <w:t xml:space="preserve"> do kraja </w:t>
      </w:r>
      <w:r>
        <w:t>godine.</w:t>
      </w:r>
    </w:p>
    <w:p w14:paraId="1DF9DD56" w14:textId="4F5B3319" w:rsidR="009A67DA" w:rsidRDefault="009A67DA" w:rsidP="00217FA7">
      <w:pPr>
        <w:pStyle w:val="Odlomakpopisa"/>
        <w:spacing w:after="100" w:afterAutospacing="1" w:line="0" w:lineRule="atLeast"/>
        <w:ind w:left="680"/>
        <w:jc w:val="both"/>
      </w:pPr>
    </w:p>
    <w:p w14:paraId="78C42337" w14:textId="1787ECB8" w:rsidR="00421855" w:rsidRDefault="00421855" w:rsidP="00217FA7">
      <w:pPr>
        <w:pStyle w:val="Odlomakpopisa"/>
        <w:spacing w:after="100" w:afterAutospacing="1" w:line="0" w:lineRule="atLeast"/>
        <w:ind w:left="680"/>
        <w:jc w:val="both"/>
      </w:pPr>
    </w:p>
    <w:p w14:paraId="20363A11" w14:textId="0B21FA7C" w:rsidR="00421855" w:rsidRDefault="00421855" w:rsidP="00421855">
      <w:pPr>
        <w:pBdr>
          <w:top w:val="double" w:sz="4" w:space="1" w:color="auto"/>
          <w:bottom w:val="double" w:sz="4" w:space="1" w:color="auto"/>
        </w:pBdr>
        <w:rPr>
          <w:b/>
          <w:sz w:val="28"/>
          <w:szCs w:val="28"/>
        </w:rPr>
      </w:pPr>
      <w:r w:rsidRPr="00B75DFE">
        <w:rPr>
          <w:b/>
          <w:sz w:val="28"/>
          <w:szCs w:val="28"/>
        </w:rPr>
        <w:t>K89000</w:t>
      </w:r>
      <w:r>
        <w:rPr>
          <w:b/>
          <w:sz w:val="28"/>
          <w:szCs w:val="28"/>
        </w:rPr>
        <w:t>6</w:t>
      </w:r>
      <w:r w:rsidRPr="00B75DFE">
        <w:rPr>
          <w:b/>
          <w:sz w:val="28"/>
          <w:szCs w:val="28"/>
        </w:rPr>
        <w:t xml:space="preserve"> </w:t>
      </w:r>
      <w:r w:rsidR="000503C5">
        <w:rPr>
          <w:b/>
          <w:sz w:val="28"/>
          <w:szCs w:val="28"/>
        </w:rPr>
        <w:t>Digitalna patologija i telemedicina</w:t>
      </w:r>
    </w:p>
    <w:p w14:paraId="5B5E56E5" w14:textId="4DBDE18B" w:rsidR="00421855" w:rsidRPr="009B3666" w:rsidRDefault="00421855" w:rsidP="00421855">
      <w:pPr>
        <w:spacing w:line="0" w:lineRule="atLeast"/>
        <w:ind w:left="680"/>
        <w:contextualSpacing/>
        <w:rPr>
          <w:lang w:eastAsia="x-none"/>
        </w:rPr>
      </w:pPr>
      <w:r w:rsidRPr="009B3666">
        <w:rPr>
          <w:b/>
          <w:lang w:eastAsia="x-none"/>
        </w:rPr>
        <w:t>Planirana  sredstva za 2025:</w:t>
      </w:r>
      <w:r w:rsidRPr="009B3666">
        <w:rPr>
          <w:lang w:eastAsia="x-none"/>
        </w:rPr>
        <w:t xml:space="preserve">       </w:t>
      </w:r>
      <w:r w:rsidR="009B3666" w:rsidRPr="009B3666">
        <w:rPr>
          <w:lang w:eastAsia="x-none"/>
        </w:rPr>
        <w:t xml:space="preserve"> </w:t>
      </w:r>
      <w:r w:rsidRPr="009B3666">
        <w:rPr>
          <w:lang w:eastAsia="x-none"/>
        </w:rPr>
        <w:t xml:space="preserve">  </w:t>
      </w:r>
      <w:r w:rsidR="009B3666" w:rsidRPr="009B3666">
        <w:rPr>
          <w:lang w:eastAsia="x-none"/>
        </w:rPr>
        <w:t>2</w:t>
      </w:r>
      <w:r w:rsidR="00320C73">
        <w:rPr>
          <w:lang w:eastAsia="x-none"/>
        </w:rPr>
        <w:t>5</w:t>
      </w:r>
      <w:r w:rsidR="009B3666" w:rsidRPr="009B3666">
        <w:rPr>
          <w:lang w:eastAsia="x-none"/>
        </w:rPr>
        <w:t xml:space="preserve">5.450 </w:t>
      </w:r>
      <w:r w:rsidRPr="009B3666">
        <w:rPr>
          <w:lang w:eastAsia="x-none"/>
        </w:rPr>
        <w:t>EUR</w:t>
      </w:r>
    </w:p>
    <w:p w14:paraId="4D387C49" w14:textId="507D0F18" w:rsidR="00421855" w:rsidRPr="009B3666" w:rsidRDefault="00421855" w:rsidP="00421855">
      <w:pPr>
        <w:spacing w:line="0" w:lineRule="atLeast"/>
        <w:ind w:left="680"/>
        <w:contextualSpacing/>
        <w:rPr>
          <w:lang w:eastAsia="x-none"/>
        </w:rPr>
      </w:pPr>
      <w:r w:rsidRPr="009B3666">
        <w:rPr>
          <w:b/>
          <w:lang w:eastAsia="x-none"/>
        </w:rPr>
        <w:t>1.rebalans 2025</w:t>
      </w:r>
      <w:r w:rsidRPr="009B3666">
        <w:rPr>
          <w:lang w:eastAsia="x-none"/>
        </w:rPr>
        <w:t xml:space="preserve">.:                            </w:t>
      </w:r>
      <w:r w:rsidR="009B3666" w:rsidRPr="009B3666">
        <w:rPr>
          <w:lang w:eastAsia="x-none"/>
        </w:rPr>
        <w:t xml:space="preserve"> 258.276 </w:t>
      </w:r>
      <w:r w:rsidRPr="009B3666">
        <w:rPr>
          <w:lang w:eastAsia="x-none"/>
        </w:rPr>
        <w:t>EUR</w:t>
      </w:r>
    </w:p>
    <w:p w14:paraId="0B04E858" w14:textId="1C7639B4" w:rsidR="00421855" w:rsidRPr="009B3666" w:rsidRDefault="00421855" w:rsidP="00421855">
      <w:pPr>
        <w:spacing w:line="0" w:lineRule="atLeast"/>
        <w:ind w:left="680"/>
        <w:contextualSpacing/>
        <w:rPr>
          <w:lang w:eastAsia="x-none"/>
        </w:rPr>
      </w:pPr>
      <w:r w:rsidRPr="009B3666">
        <w:rPr>
          <w:b/>
          <w:lang w:eastAsia="x-none"/>
        </w:rPr>
        <w:t>Povećanje/smanjenje:</w:t>
      </w:r>
      <w:r w:rsidRPr="009B3666">
        <w:rPr>
          <w:lang w:eastAsia="x-none"/>
        </w:rPr>
        <w:t xml:space="preserve">                  </w:t>
      </w:r>
      <w:r w:rsidR="009B3666" w:rsidRPr="009B3666">
        <w:rPr>
          <w:lang w:eastAsia="x-none"/>
        </w:rPr>
        <w:t xml:space="preserve">      2.826 </w:t>
      </w:r>
      <w:r w:rsidRPr="009B3666">
        <w:rPr>
          <w:lang w:eastAsia="x-none"/>
        </w:rPr>
        <w:t>EUR</w:t>
      </w:r>
    </w:p>
    <w:p w14:paraId="56523A0E" w14:textId="77777777" w:rsidR="00421855" w:rsidRPr="009B3666" w:rsidRDefault="00421855" w:rsidP="00421855">
      <w:pPr>
        <w:pStyle w:val="Odlomakpopisa"/>
        <w:spacing w:after="100" w:afterAutospacing="1" w:line="0" w:lineRule="atLeast"/>
        <w:ind w:left="680"/>
        <w:jc w:val="both"/>
      </w:pPr>
      <w:r w:rsidRPr="009B3666">
        <w:t xml:space="preserve">Obzirom na izvore financiranja za provođenje aktivnosti korigirano je kako slijedi: </w:t>
      </w:r>
    </w:p>
    <w:p w14:paraId="2B8A0CDE" w14:textId="77777777" w:rsidR="00421855" w:rsidRPr="000503C5" w:rsidRDefault="00421855" w:rsidP="00421855">
      <w:pPr>
        <w:pStyle w:val="Odlomakpopisa"/>
        <w:spacing w:after="100" w:afterAutospacing="1" w:line="0" w:lineRule="atLeast"/>
        <w:ind w:left="680"/>
        <w:jc w:val="both"/>
        <w:rPr>
          <w:highlight w:val="yellow"/>
        </w:rPr>
      </w:pPr>
    </w:p>
    <w:p w14:paraId="54910C82" w14:textId="4A00BA37" w:rsidR="00421855" w:rsidRDefault="00421855" w:rsidP="00042DC8">
      <w:pPr>
        <w:pStyle w:val="Odlomakpopisa"/>
        <w:numPr>
          <w:ilvl w:val="0"/>
          <w:numId w:val="34"/>
        </w:numPr>
        <w:spacing w:after="100" w:afterAutospacing="1" w:line="0" w:lineRule="atLeast"/>
        <w:ind w:left="1395" w:hanging="357"/>
        <w:jc w:val="both"/>
      </w:pPr>
      <w:r w:rsidRPr="009B3666">
        <w:t xml:space="preserve">Izvor </w:t>
      </w:r>
      <w:r w:rsidR="009B3666" w:rsidRPr="009B3666">
        <w:t>31</w:t>
      </w:r>
      <w:r w:rsidRPr="009B3666">
        <w:t>: povećan je za 42</w:t>
      </w:r>
      <w:r w:rsidR="009B3666" w:rsidRPr="009B3666">
        <w:t>4</w:t>
      </w:r>
      <w:r w:rsidRPr="009B3666">
        <w:t xml:space="preserve"> EUR</w:t>
      </w:r>
      <w:r w:rsidR="009B3666" w:rsidRPr="009B3666">
        <w:t xml:space="preserve">  </w:t>
      </w:r>
      <w:r w:rsidR="009B3666">
        <w:t xml:space="preserve">iz dijela donosa sa IF 31 </w:t>
      </w:r>
      <w:r w:rsidR="009B3666" w:rsidRPr="009B3666">
        <w:t>osnovom novonastale dinamike realizacije projekta</w:t>
      </w:r>
      <w:r w:rsidR="009B3666">
        <w:t xml:space="preserve">. </w:t>
      </w:r>
      <w:r w:rsidR="009B3666" w:rsidRPr="009B3666">
        <w:t xml:space="preserve">  Struktura rashoda korigirana je sukladno već izvršenom  i očekivanom do kraja godine</w:t>
      </w:r>
      <w:r w:rsidR="009B3666">
        <w:t>.</w:t>
      </w:r>
    </w:p>
    <w:p w14:paraId="5B7DCBB8" w14:textId="18F4B61C" w:rsidR="009B3666" w:rsidRDefault="009B3666" w:rsidP="00042DC8">
      <w:pPr>
        <w:pStyle w:val="Odlomakpopisa"/>
        <w:numPr>
          <w:ilvl w:val="0"/>
          <w:numId w:val="34"/>
        </w:numPr>
        <w:spacing w:after="100" w:afterAutospacing="1" w:line="0" w:lineRule="atLeast"/>
        <w:ind w:left="1395" w:hanging="357"/>
        <w:jc w:val="both"/>
      </w:pPr>
      <w:r>
        <w:t xml:space="preserve">Izvor 52: povećan je za 2.402 EUR osnovom tekućih pomoći od inozemnih vlada izvan EU.  </w:t>
      </w:r>
      <w:r w:rsidRPr="009B3666">
        <w:t>Struktura rashoda korigirana je sukladno već izvršenom  i očekivanom do kraja godine</w:t>
      </w:r>
      <w:r>
        <w:t>.</w:t>
      </w:r>
    </w:p>
    <w:p w14:paraId="34FC2A63" w14:textId="48F2F2C7" w:rsidR="00421855" w:rsidRDefault="00421855" w:rsidP="00217FA7">
      <w:pPr>
        <w:pStyle w:val="Odlomakpopisa"/>
        <w:spacing w:after="100" w:afterAutospacing="1" w:line="0" w:lineRule="atLeast"/>
        <w:ind w:left="680"/>
        <w:jc w:val="both"/>
      </w:pPr>
    </w:p>
    <w:p w14:paraId="2B589BD4" w14:textId="015EDE33" w:rsidR="00421855" w:rsidRDefault="00421855" w:rsidP="00217FA7">
      <w:pPr>
        <w:pStyle w:val="Odlomakpopisa"/>
        <w:spacing w:after="100" w:afterAutospacing="1" w:line="0" w:lineRule="atLeast"/>
        <w:ind w:left="680"/>
        <w:jc w:val="both"/>
      </w:pPr>
    </w:p>
    <w:p w14:paraId="427BF181" w14:textId="3F54CDEC" w:rsidR="001B7983" w:rsidRDefault="001B7983" w:rsidP="001B7983">
      <w:pPr>
        <w:pBdr>
          <w:top w:val="double" w:sz="4" w:space="1" w:color="auto"/>
          <w:bottom w:val="double" w:sz="4" w:space="1" w:color="auto"/>
        </w:pBdr>
        <w:rPr>
          <w:b/>
          <w:sz w:val="28"/>
          <w:szCs w:val="28"/>
        </w:rPr>
      </w:pPr>
      <w:r w:rsidRPr="00B75DFE">
        <w:rPr>
          <w:b/>
          <w:sz w:val="28"/>
          <w:szCs w:val="28"/>
        </w:rPr>
        <w:t>K89000</w:t>
      </w:r>
      <w:r>
        <w:rPr>
          <w:b/>
          <w:sz w:val="28"/>
          <w:szCs w:val="28"/>
        </w:rPr>
        <w:t>8</w:t>
      </w:r>
      <w:r w:rsidRPr="00B75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Jačanje otpornosti zdravstvenog sustava – NPOO C51.1 – KBC Osijek</w:t>
      </w:r>
    </w:p>
    <w:p w14:paraId="27ECAD65" w14:textId="05826AC0" w:rsidR="001B7983" w:rsidRPr="005D5531" w:rsidRDefault="001B7983" w:rsidP="001B7983">
      <w:pPr>
        <w:spacing w:line="0" w:lineRule="atLeast"/>
        <w:ind w:left="680"/>
        <w:contextualSpacing/>
        <w:rPr>
          <w:lang w:eastAsia="x-none"/>
        </w:rPr>
      </w:pPr>
      <w:r>
        <w:rPr>
          <w:b/>
          <w:lang w:eastAsia="x-none"/>
        </w:rPr>
        <w:t xml:space="preserve">Planirana </w:t>
      </w:r>
      <w:r w:rsidRPr="001B28A3">
        <w:rPr>
          <w:b/>
          <w:lang w:eastAsia="x-none"/>
        </w:rPr>
        <w:t xml:space="preserve"> sredstva</w:t>
      </w:r>
      <w:r>
        <w:rPr>
          <w:b/>
          <w:lang w:eastAsia="x-none"/>
        </w:rPr>
        <w:t xml:space="preserve"> za 2025</w:t>
      </w:r>
      <w:r w:rsidRPr="005D5531">
        <w:rPr>
          <w:b/>
          <w:lang w:eastAsia="x-none"/>
        </w:rPr>
        <w:t>:</w:t>
      </w:r>
      <w:r w:rsidRPr="005D5531">
        <w:rPr>
          <w:lang w:eastAsia="x-none"/>
        </w:rPr>
        <w:t xml:space="preserve">  </w:t>
      </w:r>
      <w:r>
        <w:rPr>
          <w:lang w:eastAsia="x-none"/>
        </w:rPr>
        <w:t xml:space="preserve">                  0 EUR</w:t>
      </w:r>
    </w:p>
    <w:p w14:paraId="3DC4B2C4" w14:textId="2BC1F27B" w:rsidR="001B7983" w:rsidRDefault="001B7983" w:rsidP="001B7983">
      <w:pPr>
        <w:spacing w:line="0" w:lineRule="atLeast"/>
        <w:ind w:left="680"/>
        <w:contextualSpacing/>
        <w:rPr>
          <w:lang w:eastAsia="x-none"/>
        </w:rPr>
      </w:pPr>
      <w:r w:rsidRPr="005D5531">
        <w:rPr>
          <w:b/>
          <w:lang w:eastAsia="x-none"/>
        </w:rPr>
        <w:t>1.rebalans 202</w:t>
      </w:r>
      <w:r>
        <w:rPr>
          <w:b/>
          <w:lang w:eastAsia="x-none"/>
        </w:rPr>
        <w:t>5</w:t>
      </w:r>
      <w:r w:rsidRPr="005D5531">
        <w:rPr>
          <w:lang w:eastAsia="x-none"/>
        </w:rPr>
        <w:t xml:space="preserve">.:                 </w:t>
      </w:r>
      <w:r>
        <w:rPr>
          <w:lang w:eastAsia="x-none"/>
        </w:rPr>
        <w:t xml:space="preserve">       </w:t>
      </w:r>
      <w:r w:rsidRPr="005D5531">
        <w:rPr>
          <w:lang w:eastAsia="x-none"/>
        </w:rPr>
        <w:t xml:space="preserve">    </w:t>
      </w:r>
      <w:r>
        <w:rPr>
          <w:lang w:eastAsia="x-none"/>
        </w:rPr>
        <w:t>426.508 EUR</w:t>
      </w:r>
    </w:p>
    <w:p w14:paraId="3E0AD016" w14:textId="43F06FDB" w:rsidR="001B7983" w:rsidRDefault="001B7983" w:rsidP="001B7983">
      <w:pPr>
        <w:spacing w:line="0" w:lineRule="atLeast"/>
        <w:ind w:left="680"/>
        <w:contextualSpacing/>
        <w:rPr>
          <w:lang w:eastAsia="x-none"/>
        </w:rPr>
      </w:pPr>
      <w:r w:rsidRPr="005D5531">
        <w:rPr>
          <w:b/>
          <w:lang w:eastAsia="x-none"/>
        </w:rPr>
        <w:t>Povećanje/smanjenje:</w:t>
      </w:r>
      <w:r w:rsidRPr="005D5531">
        <w:rPr>
          <w:lang w:eastAsia="x-none"/>
        </w:rPr>
        <w:t xml:space="preserve">          </w:t>
      </w:r>
      <w:r>
        <w:rPr>
          <w:lang w:eastAsia="x-none"/>
        </w:rPr>
        <w:t xml:space="preserve">    </w:t>
      </w:r>
      <w:r w:rsidRPr="005D5531">
        <w:rPr>
          <w:lang w:eastAsia="x-none"/>
        </w:rPr>
        <w:t xml:space="preserve">   </w:t>
      </w:r>
      <w:r>
        <w:rPr>
          <w:lang w:eastAsia="x-none"/>
        </w:rPr>
        <w:t xml:space="preserve"> 426.508 EUR</w:t>
      </w:r>
    </w:p>
    <w:p w14:paraId="3FDDAF63" w14:textId="77777777" w:rsidR="001B7983" w:rsidRDefault="001B7983" w:rsidP="001B7983">
      <w:pPr>
        <w:pStyle w:val="Odlomakpopisa"/>
        <w:spacing w:after="100" w:afterAutospacing="1" w:line="0" w:lineRule="atLeast"/>
        <w:ind w:left="680"/>
        <w:jc w:val="both"/>
      </w:pPr>
      <w:r>
        <w:t>Obzirom na izvore financiranja za provođenje aktivnosti korigirano je kako slijedi:</w:t>
      </w:r>
      <w:r w:rsidRPr="00325884">
        <w:t xml:space="preserve"> </w:t>
      </w:r>
    </w:p>
    <w:p w14:paraId="369E492C" w14:textId="77777777" w:rsidR="001B7983" w:rsidRPr="00FC4915" w:rsidRDefault="001B7983" w:rsidP="001B7983">
      <w:pPr>
        <w:pStyle w:val="Odlomakpopisa"/>
        <w:spacing w:after="100" w:afterAutospacing="1" w:line="0" w:lineRule="atLeast"/>
        <w:ind w:left="680"/>
        <w:jc w:val="both"/>
        <w:rPr>
          <w:highlight w:val="yellow"/>
        </w:rPr>
      </w:pPr>
    </w:p>
    <w:p w14:paraId="7169FF83" w14:textId="3C874CF0" w:rsidR="001B7983" w:rsidRPr="001B7983" w:rsidRDefault="001B7983" w:rsidP="001B7983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1B7983">
        <w:t>Izvor 581</w:t>
      </w:r>
      <w:r w:rsidRPr="00F01487">
        <w:t>:</w:t>
      </w:r>
      <w:r w:rsidRPr="004942EB">
        <w:t xml:space="preserve"> </w:t>
      </w:r>
      <w:r>
        <w:t xml:space="preserve">povećan je za 426.508 EUR osnovom Ugovora o dodjeli bespovratnih sredstava za projekt „Specijalističko usavršavanje </w:t>
      </w:r>
      <w:proofErr w:type="spellStart"/>
      <w:r>
        <w:t>prvostupnika</w:t>
      </w:r>
      <w:proofErr w:type="spellEnd"/>
      <w:r>
        <w:t xml:space="preserve"> sestrinstva u djelatnosti hitne medicine“ u iznosu 155.799 EUR, te </w:t>
      </w:r>
      <w:proofErr w:type="spellStart"/>
      <w:r>
        <w:t>vantroškovničkih</w:t>
      </w:r>
      <w:proofErr w:type="spellEnd"/>
      <w:r>
        <w:t xml:space="preserve"> radova za uređenje prostora za smještaj linearnih akceleratora u iznosu 270.709 EUR.  </w:t>
      </w:r>
      <w:r w:rsidRPr="001B7983">
        <w:t>Povećanje je planirano na poziciju Rashodi za zaposlene u iznosu 137.745 EUR, Naknade troškova zaposlenima u iznosu 18.0</w:t>
      </w:r>
      <w:r w:rsidR="00320C73">
        <w:t>5</w:t>
      </w:r>
      <w:r w:rsidRPr="001B7983">
        <w:t>4 EUR, te Dodatna ulaganja na građevinskim objektima u iznosu 270.709 EUR (VTR za smještaj linearnih akceleratora 175.</w:t>
      </w:r>
      <w:r w:rsidR="00320C73">
        <w:t>7</w:t>
      </w:r>
      <w:r w:rsidRPr="001B7983">
        <w:t>64 EUR, 1 vrata za prostor linearnog akceleratora 94</w:t>
      </w:r>
      <w:r w:rsidR="00320C73">
        <w:t>.</w:t>
      </w:r>
      <w:r w:rsidRPr="001B7983">
        <w:t>945 EUR).</w:t>
      </w:r>
    </w:p>
    <w:p w14:paraId="566DB71D" w14:textId="4A16A847" w:rsidR="00AA408E" w:rsidRDefault="00AA408E" w:rsidP="00217FA7">
      <w:pPr>
        <w:pStyle w:val="Odlomakpopisa"/>
        <w:spacing w:after="100" w:afterAutospacing="1" w:line="0" w:lineRule="atLeast"/>
        <w:ind w:left="680"/>
        <w:jc w:val="both"/>
      </w:pPr>
    </w:p>
    <w:p w14:paraId="62429657" w14:textId="2EB71390" w:rsidR="00AA408E" w:rsidRDefault="00AA408E" w:rsidP="00217FA7">
      <w:pPr>
        <w:pStyle w:val="Odlomakpopisa"/>
        <w:spacing w:after="100" w:afterAutospacing="1" w:line="0" w:lineRule="atLeast"/>
        <w:ind w:left="680"/>
        <w:jc w:val="both"/>
      </w:pPr>
    </w:p>
    <w:p w14:paraId="40765800" w14:textId="171AC5EE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7927EB56" w14:textId="0B7C4512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39727CB6" w14:textId="78271C4B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0F7562B5" w14:textId="0062ABD9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646758E1" w14:textId="77777777" w:rsidR="00595299" w:rsidRDefault="00595299" w:rsidP="00217FA7">
      <w:pPr>
        <w:pStyle w:val="Odlomakpopisa"/>
        <w:spacing w:after="100" w:afterAutospacing="1" w:line="0" w:lineRule="atLeast"/>
        <w:ind w:left="680"/>
        <w:jc w:val="both"/>
      </w:pPr>
    </w:p>
    <w:p w14:paraId="4EECE4E1" w14:textId="71155A7C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5B3D4394" w14:textId="58565A68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03D7393A" w14:textId="72BB19B1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0ED5A147" w14:textId="3498CB94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64C6BBBD" w14:textId="371D2CBC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7549F16D" w14:textId="77777777" w:rsidR="00683829" w:rsidRDefault="00683829" w:rsidP="00217FA7">
      <w:pPr>
        <w:pStyle w:val="Odlomakpopisa"/>
        <w:spacing w:after="100" w:afterAutospacing="1" w:line="0" w:lineRule="atLeast"/>
        <w:ind w:left="680"/>
        <w:jc w:val="both"/>
      </w:pPr>
    </w:p>
    <w:p w14:paraId="2DAC7496" w14:textId="77777777" w:rsidR="00560122" w:rsidRPr="009C5FB3" w:rsidRDefault="00560122" w:rsidP="00D0499C">
      <w:pPr>
        <w:shd w:val="clear" w:color="auto" w:fill="D5DCE4" w:themeFill="text2" w:themeFillTint="33"/>
        <w:rPr>
          <w:sz w:val="28"/>
          <w:szCs w:val="28"/>
        </w:rPr>
      </w:pPr>
      <w:r w:rsidRPr="009C5FB3">
        <w:rPr>
          <w:sz w:val="28"/>
          <w:szCs w:val="28"/>
        </w:rPr>
        <w:lastRenderedPageBreak/>
        <w:t>3</w:t>
      </w:r>
      <w:r w:rsidRPr="009C5FB3">
        <w:rPr>
          <w:sz w:val="28"/>
          <w:szCs w:val="28"/>
          <w:shd w:val="clear" w:color="auto" w:fill="D5DCE4" w:themeFill="text2" w:themeFillTint="33"/>
        </w:rPr>
        <w:t>605</w:t>
      </w:r>
      <w:r w:rsidR="00093E05" w:rsidRPr="009C5FB3">
        <w:rPr>
          <w:sz w:val="28"/>
          <w:szCs w:val="28"/>
          <w:shd w:val="clear" w:color="auto" w:fill="D5DCE4" w:themeFill="text2" w:themeFillTint="33"/>
        </w:rPr>
        <w:t xml:space="preserve"> </w:t>
      </w:r>
      <w:r w:rsidR="00C129CA" w:rsidRPr="009C5FB3">
        <w:rPr>
          <w:sz w:val="28"/>
          <w:szCs w:val="28"/>
          <w:shd w:val="clear" w:color="auto" w:fill="D5DCE4" w:themeFill="text2" w:themeFillTint="33"/>
        </w:rPr>
        <w:t>SIGURNOST GRAĐANA I PRAVO NA ZDRAVSTVENE USLUGE</w:t>
      </w:r>
    </w:p>
    <w:p w14:paraId="4C017ABA" w14:textId="77777777" w:rsidR="0018554F" w:rsidRDefault="0018554F" w:rsidP="0018554F">
      <w:pPr>
        <w:spacing w:line="0" w:lineRule="atLeast"/>
        <w:contextualSpacing/>
        <w:jc w:val="both"/>
        <w:rPr>
          <w:b/>
          <w:lang w:eastAsia="x-none"/>
        </w:rPr>
      </w:pPr>
    </w:p>
    <w:p w14:paraId="6FCE2269" w14:textId="77777777" w:rsidR="0018554F" w:rsidRDefault="0018554F" w:rsidP="009C5FB3">
      <w:pPr>
        <w:pBdr>
          <w:top w:val="double" w:sz="4" w:space="1" w:color="auto"/>
          <w:bottom w:val="doub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A890001 Administracija i upravljanje</w:t>
      </w:r>
    </w:p>
    <w:p w14:paraId="1CD5B459" w14:textId="39A601F3" w:rsidR="00694490" w:rsidRPr="00C3166B" w:rsidRDefault="00694490" w:rsidP="00694490">
      <w:pPr>
        <w:pStyle w:val="Odlomakpopisa"/>
        <w:spacing w:after="100" w:afterAutospacing="1" w:line="0" w:lineRule="atLeast"/>
        <w:ind w:left="680"/>
        <w:jc w:val="both"/>
      </w:pPr>
      <w:r w:rsidRPr="007E650C">
        <w:rPr>
          <w:b/>
        </w:rPr>
        <w:t>Planirana sredstva 20</w:t>
      </w:r>
      <w:r>
        <w:rPr>
          <w:b/>
        </w:rPr>
        <w:t>2</w:t>
      </w:r>
      <w:r w:rsidR="00EA52C1">
        <w:rPr>
          <w:b/>
        </w:rPr>
        <w:t>5</w:t>
      </w:r>
      <w:r w:rsidRPr="00C3166B">
        <w:rPr>
          <w:b/>
        </w:rPr>
        <w:t xml:space="preserve">.: </w:t>
      </w:r>
      <w:r w:rsidRPr="00C3166B">
        <w:t xml:space="preserve">  </w:t>
      </w:r>
      <w:r w:rsidR="00A1261B">
        <w:t>221.354.908</w:t>
      </w:r>
      <w:r>
        <w:t xml:space="preserve"> EUR</w:t>
      </w:r>
    </w:p>
    <w:p w14:paraId="4D747813" w14:textId="2A6F0219" w:rsidR="00694490" w:rsidRPr="00694490" w:rsidRDefault="00694490" w:rsidP="00694490">
      <w:pPr>
        <w:pStyle w:val="Odlomakpopisa"/>
        <w:spacing w:after="100" w:afterAutospacing="1" w:line="0" w:lineRule="atLeast"/>
        <w:ind w:left="680"/>
        <w:jc w:val="both"/>
      </w:pPr>
      <w:r w:rsidRPr="00C3166B">
        <w:rPr>
          <w:b/>
        </w:rPr>
        <w:t>1.rebalans 202</w:t>
      </w:r>
      <w:r w:rsidR="00CA45F1">
        <w:rPr>
          <w:b/>
        </w:rPr>
        <w:t>5</w:t>
      </w:r>
      <w:r w:rsidRPr="00694490">
        <w:t xml:space="preserve">:                   </w:t>
      </w:r>
      <w:r w:rsidR="00A1261B">
        <w:t>230.077.775</w:t>
      </w:r>
      <w:r w:rsidRPr="00694490">
        <w:t xml:space="preserve"> EUR  </w:t>
      </w:r>
    </w:p>
    <w:p w14:paraId="1770426D" w14:textId="0AF5783D" w:rsidR="00694490" w:rsidRPr="00A8706A" w:rsidRDefault="00694490" w:rsidP="00694490">
      <w:pPr>
        <w:pStyle w:val="Odlomakpopisa"/>
        <w:spacing w:after="100" w:afterAutospacing="1" w:line="0" w:lineRule="atLeast"/>
        <w:ind w:left="680"/>
        <w:jc w:val="both"/>
        <w:rPr>
          <w:b/>
        </w:rPr>
      </w:pPr>
      <w:r w:rsidRPr="00C3166B">
        <w:rPr>
          <w:b/>
        </w:rPr>
        <w:t>Povećanje/smanjenje</w:t>
      </w:r>
      <w:r w:rsidRPr="00C3166B">
        <w:t xml:space="preserve">:      </w:t>
      </w:r>
      <w:r w:rsidR="00A1261B">
        <w:t xml:space="preserve">   </w:t>
      </w:r>
      <w:r w:rsidR="005A4345">
        <w:t xml:space="preserve"> </w:t>
      </w:r>
      <w:r>
        <w:t xml:space="preserve">  </w:t>
      </w:r>
      <w:r w:rsidR="00A1261B">
        <w:t>8.722.867</w:t>
      </w:r>
      <w:r w:rsidR="005A4345">
        <w:t xml:space="preserve"> </w:t>
      </w:r>
      <w:r>
        <w:t xml:space="preserve"> EUR</w:t>
      </w:r>
      <w:r>
        <w:rPr>
          <w:b/>
        </w:rPr>
        <w:t xml:space="preserve"> </w:t>
      </w:r>
    </w:p>
    <w:p w14:paraId="48B1046C" w14:textId="77777777" w:rsidR="00694490" w:rsidRDefault="00694490" w:rsidP="00694490">
      <w:pPr>
        <w:pStyle w:val="Odlomakpopisa"/>
        <w:spacing w:after="100" w:afterAutospacing="1" w:line="0" w:lineRule="atLeast"/>
        <w:ind w:left="680"/>
        <w:jc w:val="both"/>
      </w:pPr>
    </w:p>
    <w:p w14:paraId="7934D075" w14:textId="25668715" w:rsidR="00C05F0D" w:rsidRPr="005D419F" w:rsidRDefault="00C05F0D" w:rsidP="00C05F0D">
      <w:pPr>
        <w:pStyle w:val="Odlomakpopisa"/>
        <w:spacing w:after="100" w:afterAutospacing="1" w:line="0" w:lineRule="atLeast"/>
        <w:ind w:left="680"/>
        <w:jc w:val="both"/>
      </w:pPr>
      <w:r w:rsidRPr="005D419F">
        <w:t xml:space="preserve">Obzirom na izvore financiranja </w:t>
      </w:r>
      <w:r w:rsidR="00D67884" w:rsidRPr="005D419F">
        <w:t>za</w:t>
      </w:r>
      <w:r w:rsidRPr="005D419F">
        <w:t xml:space="preserve"> provođenje aktivnosti korigirano je kako slijedi: </w:t>
      </w:r>
    </w:p>
    <w:p w14:paraId="7A2DFF27" w14:textId="77777777" w:rsidR="00C05F0D" w:rsidRPr="005A4345" w:rsidRDefault="00C05F0D" w:rsidP="00C05F0D">
      <w:pPr>
        <w:pStyle w:val="Odlomakpopisa"/>
        <w:spacing w:after="100" w:afterAutospacing="1" w:line="0" w:lineRule="atLeast"/>
        <w:ind w:left="680"/>
        <w:jc w:val="both"/>
        <w:rPr>
          <w:highlight w:val="yellow"/>
        </w:rPr>
      </w:pPr>
    </w:p>
    <w:p w14:paraId="5F0C9BE2" w14:textId="6F36F5D8" w:rsidR="005813C0" w:rsidRPr="00CA7D98" w:rsidRDefault="000860DB" w:rsidP="00421855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CA7D98">
        <w:t xml:space="preserve">Izvor 11: </w:t>
      </w:r>
      <w:r w:rsidR="00FF2CB3" w:rsidRPr="00CA7D98">
        <w:t xml:space="preserve">povećava se za </w:t>
      </w:r>
      <w:r w:rsidR="005813C0">
        <w:t>100.000</w:t>
      </w:r>
      <w:r w:rsidR="00FF2CB3" w:rsidRPr="00CA7D98">
        <w:t xml:space="preserve"> EUR</w:t>
      </w:r>
      <w:r w:rsidR="005813C0">
        <w:t xml:space="preserve"> na poziciji Računalne usluge </w:t>
      </w:r>
      <w:r w:rsidR="005813C0" w:rsidRPr="005813C0">
        <w:t xml:space="preserve"> sukladno Odluci MZ-a od 30.07.2025. za postupak prilagodbe informacijskog sustava</w:t>
      </w:r>
      <w:r w:rsidR="00D94A4F">
        <w:t>, te iznosi 5.494.523 EUR</w:t>
      </w:r>
      <w:r w:rsidR="007C6C30">
        <w:t>.</w:t>
      </w:r>
    </w:p>
    <w:p w14:paraId="5C439ADA" w14:textId="0CB6C54A" w:rsidR="00694490" w:rsidRPr="00A06BB7" w:rsidRDefault="00694490" w:rsidP="00694490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A06BB7">
        <w:t xml:space="preserve">Izvor 31: </w:t>
      </w:r>
      <w:r w:rsidR="005813C0">
        <w:t xml:space="preserve">povećan je za 3.900 </w:t>
      </w:r>
      <w:r w:rsidR="00C05F0D" w:rsidRPr="00A06BB7">
        <w:t xml:space="preserve"> EUR</w:t>
      </w:r>
      <w:r w:rsidR="00A06BB7" w:rsidRPr="00A06BB7">
        <w:t>,</w:t>
      </w:r>
      <w:r w:rsidR="00C05F0D" w:rsidRPr="00A06BB7">
        <w:t xml:space="preserve"> te iznosi</w:t>
      </w:r>
      <w:r w:rsidR="005813C0">
        <w:t xml:space="preserve"> 631.900</w:t>
      </w:r>
      <w:r w:rsidR="00C05F0D" w:rsidRPr="00A06BB7">
        <w:t xml:space="preserve"> EUR</w:t>
      </w:r>
      <w:r w:rsidRPr="00A06BB7">
        <w:t xml:space="preserve">. </w:t>
      </w:r>
      <w:r w:rsidR="00A3525B">
        <w:t xml:space="preserve">Povećanje je planirano osnovom donosa, a korigirane su pozicije Doprinosi za obvezno zdravstveno osiguranje, Stručno usavršavanje zaposlenika, Naknade građanima i kućanstvima, te Intelektualne i osobne usluge. </w:t>
      </w:r>
    </w:p>
    <w:p w14:paraId="28988CEA" w14:textId="650B9427" w:rsidR="00694490" w:rsidRPr="000719B5" w:rsidRDefault="00694490" w:rsidP="00694490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0719B5">
        <w:t xml:space="preserve">Izvor 43: </w:t>
      </w:r>
      <w:r w:rsidR="00C05F0D" w:rsidRPr="000719B5">
        <w:t xml:space="preserve">povećan je za </w:t>
      </w:r>
      <w:r w:rsidR="005F5D31" w:rsidRPr="000719B5">
        <w:t>8.396.496</w:t>
      </w:r>
      <w:r w:rsidR="00C05F0D" w:rsidRPr="000719B5">
        <w:t xml:space="preserve"> EUR</w:t>
      </w:r>
      <w:r w:rsidR="008A622A" w:rsidRPr="000719B5">
        <w:t xml:space="preserve">, te iznosi </w:t>
      </w:r>
      <w:r w:rsidR="005F5D31" w:rsidRPr="000719B5">
        <w:t>223.629.177</w:t>
      </w:r>
      <w:r w:rsidR="008A622A" w:rsidRPr="000719B5">
        <w:t xml:space="preserve"> EUR </w:t>
      </w:r>
      <w:r w:rsidR="00C05F0D" w:rsidRPr="000719B5">
        <w:t xml:space="preserve"> </w:t>
      </w:r>
      <w:r w:rsidR="00080814" w:rsidRPr="000719B5">
        <w:t xml:space="preserve">osnovom donosa u iznosu </w:t>
      </w:r>
      <w:r w:rsidR="005F5D31" w:rsidRPr="000719B5">
        <w:t>327.221</w:t>
      </w:r>
      <w:r w:rsidR="00080814" w:rsidRPr="000719B5">
        <w:t xml:space="preserve"> EUR,  povećanja prihoda od sufinanciranja cijene usluga za </w:t>
      </w:r>
      <w:r w:rsidR="00F27323" w:rsidRPr="000719B5">
        <w:t>413.100</w:t>
      </w:r>
      <w:r w:rsidR="00080814" w:rsidRPr="000719B5">
        <w:t xml:space="preserve"> EUR zbog usklade sa ostvarenim i projekciji do kraja godine, </w:t>
      </w:r>
      <w:r w:rsidR="00F27323" w:rsidRPr="000719B5">
        <w:t>smanjenja</w:t>
      </w:r>
      <w:r w:rsidR="00080814" w:rsidRPr="000719B5">
        <w:t xml:space="preserve"> ostalih prihoda za </w:t>
      </w:r>
      <w:r w:rsidR="00F27323" w:rsidRPr="000719B5">
        <w:t>108.000</w:t>
      </w:r>
      <w:r w:rsidR="00080814" w:rsidRPr="000719B5">
        <w:t xml:space="preserve"> EUR zbog usklade sa ostvarenim, te povećanja prihoda od HZZO-a za </w:t>
      </w:r>
      <w:r w:rsidR="00F27323" w:rsidRPr="000719B5">
        <w:t>7.764.175</w:t>
      </w:r>
      <w:r w:rsidR="00080814" w:rsidRPr="000719B5">
        <w:t xml:space="preserve"> EUR zbog usklade sa ugovorenim limitima</w:t>
      </w:r>
      <w:r w:rsidR="00550A4A" w:rsidRPr="000719B5">
        <w:t xml:space="preserve">. </w:t>
      </w:r>
      <w:r w:rsidR="00C05F0D" w:rsidRPr="000719B5">
        <w:t xml:space="preserve"> </w:t>
      </w:r>
      <w:r w:rsidR="00DE7973" w:rsidRPr="000719B5">
        <w:t>Poveća</w:t>
      </w:r>
      <w:r w:rsidR="00987D4D" w:rsidRPr="000719B5">
        <w:t>vaju se slijedeći rashodi:</w:t>
      </w:r>
      <w:r w:rsidR="00DE7973" w:rsidRPr="000719B5">
        <w:t xml:space="preserve"> rashod</w:t>
      </w:r>
      <w:r w:rsidR="00987D4D" w:rsidRPr="000719B5">
        <w:t>i</w:t>
      </w:r>
      <w:r w:rsidR="00DE7973" w:rsidRPr="000719B5">
        <w:t xml:space="preserve"> za plaće</w:t>
      </w:r>
      <w:r w:rsidR="007E4937" w:rsidRPr="000719B5">
        <w:t xml:space="preserve"> </w:t>
      </w:r>
      <w:r w:rsidR="00DE7973" w:rsidRPr="000719B5">
        <w:t xml:space="preserve">u iznosu </w:t>
      </w:r>
      <w:r w:rsidR="00F27323" w:rsidRPr="000719B5">
        <w:t>2.822.638</w:t>
      </w:r>
      <w:r w:rsidR="00F45A6F" w:rsidRPr="000719B5">
        <w:t xml:space="preserve"> EUR</w:t>
      </w:r>
      <w:r w:rsidR="00F27323" w:rsidRPr="000719B5">
        <w:t xml:space="preserve"> zbog povećanja osnovice koeficijenta od 01.09.2025.</w:t>
      </w:r>
      <w:r w:rsidR="00F45A6F" w:rsidRPr="000719B5">
        <w:t xml:space="preserve">,  rashodi za materijal i energiju u iznosu </w:t>
      </w:r>
      <w:r w:rsidR="00003724">
        <w:t>7.424.900</w:t>
      </w:r>
      <w:r w:rsidR="00DB7401">
        <w:t xml:space="preserve"> EUR</w:t>
      </w:r>
      <w:r w:rsidR="00F45A6F" w:rsidRPr="000719B5">
        <w:t xml:space="preserve">, rashodi za usluge u iznosu </w:t>
      </w:r>
      <w:r w:rsidR="000719B5" w:rsidRPr="000719B5">
        <w:t>1.6</w:t>
      </w:r>
      <w:r w:rsidR="00DB7401">
        <w:t>4</w:t>
      </w:r>
      <w:r w:rsidR="000719B5" w:rsidRPr="000719B5">
        <w:t>5.000</w:t>
      </w:r>
      <w:r w:rsidR="00F45A6F" w:rsidRPr="000719B5">
        <w:t xml:space="preserve"> EUR,</w:t>
      </w:r>
      <w:r w:rsidR="000719B5" w:rsidRPr="000719B5">
        <w:t xml:space="preserve"> ostali nespomenuti rashodi u iznosu 56.000 EUR, financijski rashodi u iznosu 1.891.000 EUR, </w:t>
      </w:r>
      <w:r w:rsidR="00F45A6F" w:rsidRPr="000719B5">
        <w:t xml:space="preserve"> naknade </w:t>
      </w:r>
      <w:r w:rsidR="000719B5" w:rsidRPr="000719B5">
        <w:t xml:space="preserve">građanima i kućanstvima u iznosu 78.000 EUR, te naknade štete </w:t>
      </w:r>
      <w:r w:rsidR="00F45A6F" w:rsidRPr="000719B5">
        <w:t xml:space="preserve"> u iznosu </w:t>
      </w:r>
      <w:r w:rsidR="000719B5" w:rsidRPr="000719B5">
        <w:t>57.500</w:t>
      </w:r>
      <w:r w:rsidR="00F45A6F" w:rsidRPr="000719B5">
        <w:t xml:space="preserve"> EUR</w:t>
      </w:r>
      <w:r w:rsidR="00DB7401">
        <w:t>, a smanjuju se rashodi lijekova i potrošnog medicinskog materijala u iznosu 5.578.542 EUR.</w:t>
      </w:r>
    </w:p>
    <w:p w14:paraId="7F62C02D" w14:textId="61244AFA" w:rsidR="00694490" w:rsidRPr="00762CF1" w:rsidRDefault="00694490" w:rsidP="00694490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0719B5">
        <w:t>Izvor 52: p</w:t>
      </w:r>
      <w:r w:rsidR="00B80740" w:rsidRPr="000719B5">
        <w:t xml:space="preserve">ovećan je za </w:t>
      </w:r>
      <w:r w:rsidR="007C6C30" w:rsidRPr="000719B5">
        <w:t>109.471</w:t>
      </w:r>
      <w:r w:rsidR="00B80740" w:rsidRPr="000719B5">
        <w:t xml:space="preserve"> EUR, te iznosi </w:t>
      </w:r>
      <w:r w:rsidR="007C6C30" w:rsidRPr="000719B5">
        <w:t>199.175</w:t>
      </w:r>
      <w:r w:rsidR="00B80740" w:rsidRPr="000719B5">
        <w:t xml:space="preserve"> EUR. Povećanje</w:t>
      </w:r>
      <w:r w:rsidR="00B80740" w:rsidRPr="00762CF1">
        <w:t xml:space="preserve"> za o</w:t>
      </w:r>
      <w:r w:rsidR="00762CF1" w:rsidRPr="00762CF1">
        <w:t>snovu</w:t>
      </w:r>
      <w:r w:rsidR="00B80740" w:rsidRPr="00762CF1">
        <w:t xml:space="preserve"> ima donos u iznosu </w:t>
      </w:r>
      <w:r w:rsidR="007C6C30">
        <w:t>6.051</w:t>
      </w:r>
      <w:r w:rsidR="00B80740" w:rsidRPr="00762CF1">
        <w:t xml:space="preserve"> EUR,  povećanj</w:t>
      </w:r>
      <w:r w:rsidR="00762CF1" w:rsidRPr="00762CF1">
        <w:t>e</w:t>
      </w:r>
      <w:r w:rsidR="00B80740" w:rsidRPr="00762CF1">
        <w:t xml:space="preserve"> za </w:t>
      </w:r>
      <w:r w:rsidR="007C6C30">
        <w:t>1.001</w:t>
      </w:r>
      <w:r w:rsidR="00B80740" w:rsidRPr="00762CF1">
        <w:t xml:space="preserve"> EUR osnovom tekućih prijenosa</w:t>
      </w:r>
      <w:r w:rsidR="00762CF1" w:rsidRPr="00762CF1">
        <w:t xml:space="preserve"> </w:t>
      </w:r>
      <w:r w:rsidR="007C6C30" w:rsidRPr="00C24F9E">
        <w:rPr>
          <w:rFonts w:cstheme="minorHAnsi"/>
          <w:bCs/>
        </w:rPr>
        <w:t>Ministarstva znanosti, obrazovanja i mladih za projekt "Poremećaj očnih  pokreta kod bolesnika poremećaja pokreta"</w:t>
      </w:r>
      <w:r w:rsidR="007C6C30">
        <w:rPr>
          <w:rFonts w:cstheme="minorHAnsi"/>
          <w:bCs/>
        </w:rPr>
        <w:t>, te</w:t>
      </w:r>
      <w:r w:rsidR="007C6C30" w:rsidRPr="00762CF1">
        <w:t xml:space="preserve"> </w:t>
      </w:r>
      <w:r w:rsidR="007C6C30">
        <w:rPr>
          <w:rFonts w:cstheme="minorHAnsi"/>
          <w:bCs/>
        </w:rPr>
        <w:t>tekućih pomoći od izvanproračunskih korisnika (HZZO)  u iznosu 102.419 EUR za financiranje 18 pripravnika od 01.08.2025.</w:t>
      </w:r>
      <w:r w:rsidR="00762CF1" w:rsidRPr="00762CF1">
        <w:t xml:space="preserve"> Povećanje je planirano na pozicijama: </w:t>
      </w:r>
      <w:r w:rsidR="004D07EC">
        <w:t xml:space="preserve">plaće (bruto) </w:t>
      </w:r>
      <w:r w:rsidR="00762CF1" w:rsidRPr="00762CF1">
        <w:t xml:space="preserve">u iznosu </w:t>
      </w:r>
      <w:r w:rsidR="004D07EC">
        <w:t>80.255</w:t>
      </w:r>
      <w:r w:rsidR="00762CF1" w:rsidRPr="00762CF1">
        <w:t xml:space="preserve"> EUR, </w:t>
      </w:r>
      <w:r w:rsidR="004D07EC">
        <w:t xml:space="preserve">doprinosi na plaće u iznosu 9.242 UER, </w:t>
      </w:r>
      <w:r w:rsidR="008A7838">
        <w:t>naknade troškova zaposlenima u iznosu 14.600 EUR, rashoda za materijal i energiju u iznosu 2.655 EUR, te rashoda po osnovu utroška lijekova u iznosu 2.720 EUR</w:t>
      </w:r>
      <w:r w:rsidR="00795223">
        <w:t>, a za 1 EUR se smanjuju Naknade građanima i kućanstvima.</w:t>
      </w:r>
      <w:r w:rsidR="00762CF1" w:rsidRPr="00762CF1">
        <w:t xml:space="preserve"> </w:t>
      </w:r>
    </w:p>
    <w:p w14:paraId="0A737004" w14:textId="68FA5C28" w:rsidR="00694490" w:rsidRPr="00173735" w:rsidRDefault="00694490" w:rsidP="00694490">
      <w:pPr>
        <w:pStyle w:val="Odlomakpopisa"/>
        <w:numPr>
          <w:ilvl w:val="0"/>
          <w:numId w:val="34"/>
        </w:numPr>
        <w:spacing w:after="100" w:afterAutospacing="1" w:line="0" w:lineRule="atLeast"/>
        <w:jc w:val="both"/>
      </w:pPr>
      <w:r w:rsidRPr="008A7838">
        <w:t>Izvor 6</w:t>
      </w:r>
      <w:bookmarkStart w:id="8" w:name="_GoBack"/>
      <w:bookmarkEnd w:id="8"/>
      <w:r w:rsidRPr="008A7838">
        <w:t xml:space="preserve">1: </w:t>
      </w:r>
      <w:r w:rsidR="00C05F0D" w:rsidRPr="008A7838">
        <w:t>povećan</w:t>
      </w:r>
      <w:r w:rsidR="00C05F0D" w:rsidRPr="00173735">
        <w:t xml:space="preserve"> je za </w:t>
      </w:r>
      <w:r w:rsidR="008A7838">
        <w:t>113.000</w:t>
      </w:r>
      <w:r w:rsidR="00085CED" w:rsidRPr="00173735">
        <w:t>0</w:t>
      </w:r>
      <w:r w:rsidR="00C05F0D" w:rsidRPr="00173735">
        <w:t xml:space="preserve"> EUR </w:t>
      </w:r>
      <w:r w:rsidRPr="00173735">
        <w:t xml:space="preserve">osnovom </w:t>
      </w:r>
      <w:r w:rsidR="008A7838">
        <w:t xml:space="preserve">donosa u iznosu 100.000 EUR, te </w:t>
      </w:r>
      <w:r w:rsidRPr="00173735">
        <w:t>usklađenja sa dosadašnjim ostvarenjem tekućih donacija</w:t>
      </w:r>
      <w:r w:rsidR="008A7838">
        <w:t xml:space="preserve"> u iznosu 13.000 EUR</w:t>
      </w:r>
      <w:r w:rsidR="00085CED" w:rsidRPr="00173735">
        <w:t>.</w:t>
      </w:r>
      <w:r w:rsidR="00DE7973" w:rsidRPr="00173735">
        <w:t xml:space="preserve"> Planirano povećanje odnosi se na povećanje </w:t>
      </w:r>
      <w:r w:rsidR="008A7838">
        <w:t>naknade troškova zaposlenima u iznosu 9.000 EUR, rashoda za usluge u iznosu 32.500 EUR, rashoda za utroška lijekova u iznosu 68.000 EUR, te ostalih nespomenutih rashoda u iznosu 3.500 EUR.</w:t>
      </w:r>
      <w:r w:rsidR="00173735" w:rsidRPr="00173735">
        <w:t xml:space="preserve"> </w:t>
      </w:r>
    </w:p>
    <w:p w14:paraId="099D1210" w14:textId="77777777" w:rsidR="00694490" w:rsidRDefault="00694490" w:rsidP="00694490">
      <w:pPr>
        <w:pStyle w:val="Odlomakpopisa"/>
        <w:spacing w:after="100" w:afterAutospacing="1" w:line="0" w:lineRule="atLeast"/>
        <w:ind w:left="680"/>
        <w:jc w:val="both"/>
      </w:pPr>
    </w:p>
    <w:p w14:paraId="69CAA3A9" w14:textId="77777777" w:rsidR="00694490" w:rsidRDefault="00694490" w:rsidP="00694490">
      <w:pPr>
        <w:pStyle w:val="Odlomakpopisa"/>
        <w:spacing w:after="100" w:afterAutospacing="1" w:line="0" w:lineRule="atLeast"/>
        <w:ind w:left="680"/>
        <w:jc w:val="both"/>
      </w:pPr>
      <w:r w:rsidRPr="007C10C3">
        <w:t>Struktura rashoda</w:t>
      </w:r>
      <w:r>
        <w:t xml:space="preserve"> po izvorima</w:t>
      </w:r>
      <w:r w:rsidRPr="007C10C3">
        <w:t xml:space="preserve"> korigirana je sukladno dosadašnjem izvršenju, te projekciji do kraja </w:t>
      </w:r>
      <w:r>
        <w:t>godine</w:t>
      </w:r>
      <w:r w:rsidRPr="007C10C3">
        <w:t>.</w:t>
      </w:r>
    </w:p>
    <w:p w14:paraId="5AD92676" w14:textId="57A56624" w:rsidR="003D489B" w:rsidRDefault="003D489B" w:rsidP="009A031F">
      <w:pPr>
        <w:pStyle w:val="Odlomakpopisa"/>
        <w:spacing w:after="100" w:afterAutospacing="1" w:line="0" w:lineRule="atLeast"/>
        <w:ind w:left="0"/>
        <w:jc w:val="both"/>
        <w:rPr>
          <w:lang w:eastAsia="x-none"/>
        </w:rPr>
      </w:pPr>
    </w:p>
    <w:p w14:paraId="7F4C54C8" w14:textId="2E5D7777" w:rsidR="003D489B" w:rsidRDefault="003D489B" w:rsidP="009A031F">
      <w:pPr>
        <w:pStyle w:val="Odlomakpopisa"/>
        <w:spacing w:after="100" w:afterAutospacing="1" w:line="0" w:lineRule="atLeast"/>
        <w:ind w:left="0"/>
        <w:jc w:val="both"/>
        <w:rPr>
          <w:lang w:eastAsia="x-none"/>
        </w:rPr>
      </w:pPr>
    </w:p>
    <w:p w14:paraId="7DDB24B7" w14:textId="77777777" w:rsidR="00B40202" w:rsidRPr="00F93A17" w:rsidRDefault="00B40202" w:rsidP="00B40202">
      <w:pPr>
        <w:spacing w:after="100" w:afterAutospacing="1" w:line="0" w:lineRule="atLeast"/>
        <w:contextualSpacing/>
        <w:jc w:val="right"/>
      </w:pPr>
      <w:r w:rsidRPr="00F93A17">
        <w:t>Ravnatelj:</w:t>
      </w:r>
    </w:p>
    <w:p w14:paraId="150C904A" w14:textId="7390B0D2" w:rsidR="00B40202" w:rsidRPr="00AE7EB6" w:rsidRDefault="00B40202" w:rsidP="00680F6A">
      <w:pPr>
        <w:spacing w:after="100" w:afterAutospacing="1" w:line="0" w:lineRule="atLeast"/>
        <w:contextualSpacing/>
        <w:jc w:val="right"/>
        <w:rPr>
          <w:rFonts w:cstheme="minorHAnsi"/>
          <w:color w:val="2F5496" w:themeColor="accent1" w:themeShade="BF"/>
        </w:rPr>
      </w:pPr>
      <w:r w:rsidRPr="00F93A17">
        <w:t>Doc.dr.sc.</w:t>
      </w:r>
      <w:r w:rsidRPr="0017528C">
        <w:t xml:space="preserve"> </w:t>
      </w:r>
      <w:r w:rsidR="0091594A">
        <w:t>Krunoslav Šego</w:t>
      </w:r>
      <w:r w:rsidRPr="0017528C">
        <w:t xml:space="preserve">, </w:t>
      </w:r>
      <w:proofErr w:type="spellStart"/>
      <w:r w:rsidRPr="0017528C">
        <w:t>dr.med</w:t>
      </w:r>
      <w:proofErr w:type="spellEnd"/>
      <w:r w:rsidRPr="0017528C">
        <w:t>.</w:t>
      </w:r>
    </w:p>
    <w:sectPr w:rsidR="00B40202" w:rsidRPr="00AE7EB6" w:rsidSect="00B40202">
      <w:pgSz w:w="11906" w:h="16838" w:code="9"/>
      <w:pgMar w:top="1077" w:right="1077" w:bottom="1021" w:left="1077" w:header="680" w:footer="284" w:gutter="0"/>
      <w:pgBorders w:offsetFrom="page">
        <w:top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F8CC0" w14:textId="77777777" w:rsidR="00D711A6" w:rsidRDefault="00D711A6" w:rsidP="00197E1A">
      <w:pPr>
        <w:spacing w:after="0" w:line="240" w:lineRule="auto"/>
      </w:pPr>
      <w:r>
        <w:separator/>
      </w:r>
    </w:p>
  </w:endnote>
  <w:endnote w:type="continuationSeparator" w:id="0">
    <w:p w14:paraId="3D2ED8E1" w14:textId="77777777" w:rsidR="00D711A6" w:rsidRDefault="00D711A6" w:rsidP="0019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339866"/>
      <w:docPartObj>
        <w:docPartGallery w:val="Page Numbers (Bottom of Page)"/>
        <w:docPartUnique/>
      </w:docPartObj>
    </w:sdtPr>
    <w:sdtContent>
      <w:p w14:paraId="4901DAB1" w14:textId="77777777" w:rsidR="00EB5C7E" w:rsidRDefault="00EB5C7E" w:rsidP="00B726C0">
        <w:pPr>
          <w:pStyle w:val="Podnoje"/>
          <w:jc w:val="righ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6439DD" wp14:editId="310CB6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Dijagram toka: Izmjenična obrad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0664" w14:textId="77777777" w:rsidR="00EB5C7E" w:rsidRPr="00573AAA" w:rsidRDefault="00EB5C7E">
                              <w:pPr>
                                <w:pStyle w:val="Podnoj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3AAA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573AAA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573AAA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573AAA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573AAA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56439D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jagram toka: Izmjenična obrada 4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A0ypUN2wIAANwFAAAOAAAAAAAAAAAAAAAAAC4CAABkcnMv&#10;ZTJvRG9jLnhtbFBLAQItABQABgAIAAAAIQAa5Eyd2QAAAAMBAAAPAAAAAAAAAAAAAAAAADUFAABk&#10;cnMvZG93bnJldi54bWxQSwUGAAAAAAQABADzAAAAOwYAAAAA&#10;" filled="f" fillcolor="#5c83b4" stroked="f" strokecolor="#737373">
                  <v:textbox>
                    <w:txbxContent>
                      <w:p w14:paraId="4FBC0664" w14:textId="77777777" w:rsidR="00EB5C7E" w:rsidRPr="00573AAA" w:rsidRDefault="00EB5C7E">
                        <w:pPr>
                          <w:pStyle w:val="Podnoj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73AAA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573AAA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573AAA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Pr="00573AAA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573AAA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4EA74" w14:textId="77777777" w:rsidR="00D711A6" w:rsidRDefault="00D711A6" w:rsidP="00197E1A">
      <w:pPr>
        <w:spacing w:after="0" w:line="240" w:lineRule="auto"/>
      </w:pPr>
      <w:r>
        <w:separator/>
      </w:r>
    </w:p>
  </w:footnote>
  <w:footnote w:type="continuationSeparator" w:id="0">
    <w:p w14:paraId="3FEB95C9" w14:textId="77777777" w:rsidR="00D711A6" w:rsidRDefault="00D711A6" w:rsidP="00197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6B8A"/>
    <w:multiLevelType w:val="hybridMultilevel"/>
    <w:tmpl w:val="CAE2CD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20D96"/>
    <w:multiLevelType w:val="multilevel"/>
    <w:tmpl w:val="38C8C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1D3818DB"/>
    <w:multiLevelType w:val="multilevel"/>
    <w:tmpl w:val="38C8C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1E4B698A"/>
    <w:multiLevelType w:val="hybridMultilevel"/>
    <w:tmpl w:val="3E78126E"/>
    <w:lvl w:ilvl="0" w:tplc="041A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06F056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908E5"/>
    <w:multiLevelType w:val="hybridMultilevel"/>
    <w:tmpl w:val="B1C41D8E"/>
    <w:lvl w:ilvl="0" w:tplc="041A000F">
      <w:start w:val="1"/>
      <w:numFmt w:val="decimal"/>
      <w:lvlText w:val="%1."/>
      <w:lvlJc w:val="left"/>
      <w:pPr>
        <w:ind w:left="2279" w:hanging="360"/>
      </w:pPr>
    </w:lvl>
    <w:lvl w:ilvl="1" w:tplc="041A0019" w:tentative="1">
      <w:start w:val="1"/>
      <w:numFmt w:val="lowerLetter"/>
      <w:lvlText w:val="%2."/>
      <w:lvlJc w:val="left"/>
      <w:pPr>
        <w:ind w:left="2999" w:hanging="360"/>
      </w:pPr>
    </w:lvl>
    <w:lvl w:ilvl="2" w:tplc="041A001B" w:tentative="1">
      <w:start w:val="1"/>
      <w:numFmt w:val="lowerRoman"/>
      <w:lvlText w:val="%3."/>
      <w:lvlJc w:val="right"/>
      <w:pPr>
        <w:ind w:left="3719" w:hanging="180"/>
      </w:pPr>
    </w:lvl>
    <w:lvl w:ilvl="3" w:tplc="041A000F" w:tentative="1">
      <w:start w:val="1"/>
      <w:numFmt w:val="decimal"/>
      <w:lvlText w:val="%4."/>
      <w:lvlJc w:val="left"/>
      <w:pPr>
        <w:ind w:left="4439" w:hanging="360"/>
      </w:pPr>
    </w:lvl>
    <w:lvl w:ilvl="4" w:tplc="041A0019" w:tentative="1">
      <w:start w:val="1"/>
      <w:numFmt w:val="lowerLetter"/>
      <w:lvlText w:val="%5."/>
      <w:lvlJc w:val="left"/>
      <w:pPr>
        <w:ind w:left="5159" w:hanging="360"/>
      </w:pPr>
    </w:lvl>
    <w:lvl w:ilvl="5" w:tplc="041A001B" w:tentative="1">
      <w:start w:val="1"/>
      <w:numFmt w:val="lowerRoman"/>
      <w:lvlText w:val="%6."/>
      <w:lvlJc w:val="right"/>
      <w:pPr>
        <w:ind w:left="5879" w:hanging="180"/>
      </w:pPr>
    </w:lvl>
    <w:lvl w:ilvl="6" w:tplc="041A000F" w:tentative="1">
      <w:start w:val="1"/>
      <w:numFmt w:val="decimal"/>
      <w:lvlText w:val="%7."/>
      <w:lvlJc w:val="left"/>
      <w:pPr>
        <w:ind w:left="6599" w:hanging="360"/>
      </w:pPr>
    </w:lvl>
    <w:lvl w:ilvl="7" w:tplc="041A0019" w:tentative="1">
      <w:start w:val="1"/>
      <w:numFmt w:val="lowerLetter"/>
      <w:lvlText w:val="%8."/>
      <w:lvlJc w:val="left"/>
      <w:pPr>
        <w:ind w:left="7319" w:hanging="360"/>
      </w:pPr>
    </w:lvl>
    <w:lvl w:ilvl="8" w:tplc="041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21946277"/>
    <w:multiLevelType w:val="hybridMultilevel"/>
    <w:tmpl w:val="8110E158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13736"/>
    <w:multiLevelType w:val="hybridMultilevel"/>
    <w:tmpl w:val="A6AEE920"/>
    <w:lvl w:ilvl="0" w:tplc="041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24963DF1"/>
    <w:multiLevelType w:val="hybridMultilevel"/>
    <w:tmpl w:val="26CA6456"/>
    <w:lvl w:ilvl="0" w:tplc="041A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85D27EC"/>
    <w:multiLevelType w:val="hybridMultilevel"/>
    <w:tmpl w:val="925E99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3C28"/>
    <w:multiLevelType w:val="multilevel"/>
    <w:tmpl w:val="5686B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11" w15:restartNumberingAfterBreak="0">
    <w:nsid w:val="2F7C7482"/>
    <w:multiLevelType w:val="hybridMultilevel"/>
    <w:tmpl w:val="4AD07FE2"/>
    <w:lvl w:ilvl="0" w:tplc="5F664442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2286A20"/>
    <w:multiLevelType w:val="hybridMultilevel"/>
    <w:tmpl w:val="948C4F2A"/>
    <w:lvl w:ilvl="0" w:tplc="61ECF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E7C46"/>
    <w:multiLevelType w:val="hybridMultilevel"/>
    <w:tmpl w:val="A042875A"/>
    <w:lvl w:ilvl="0" w:tplc="1AA22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83FEE"/>
    <w:multiLevelType w:val="hybridMultilevel"/>
    <w:tmpl w:val="8FCA9FE6"/>
    <w:lvl w:ilvl="0" w:tplc="784EE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A7CE7"/>
    <w:multiLevelType w:val="hybridMultilevel"/>
    <w:tmpl w:val="07D868A6"/>
    <w:lvl w:ilvl="0" w:tplc="041A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8696097"/>
    <w:multiLevelType w:val="multilevel"/>
    <w:tmpl w:val="5686B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17" w15:restartNumberingAfterBreak="0">
    <w:nsid w:val="3E0579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136C5E"/>
    <w:multiLevelType w:val="hybridMultilevel"/>
    <w:tmpl w:val="63AE6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A3F"/>
    <w:multiLevelType w:val="hybridMultilevel"/>
    <w:tmpl w:val="4372C0BE"/>
    <w:lvl w:ilvl="0" w:tplc="B34E6DE4">
      <w:numFmt w:val="bullet"/>
      <w:lvlText w:val="–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9004886"/>
    <w:multiLevelType w:val="hybridMultilevel"/>
    <w:tmpl w:val="163A32EE"/>
    <w:lvl w:ilvl="0" w:tplc="041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4E5B37B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2950BD"/>
    <w:multiLevelType w:val="hybridMultilevel"/>
    <w:tmpl w:val="7B3E8076"/>
    <w:lvl w:ilvl="0" w:tplc="5020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F7E04"/>
    <w:multiLevelType w:val="hybridMultilevel"/>
    <w:tmpl w:val="52782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729E5"/>
    <w:multiLevelType w:val="hybridMultilevel"/>
    <w:tmpl w:val="20A6DB3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A33CC"/>
    <w:multiLevelType w:val="hybridMultilevel"/>
    <w:tmpl w:val="8E329808"/>
    <w:lvl w:ilvl="0" w:tplc="931E898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F70B0"/>
    <w:multiLevelType w:val="hybridMultilevel"/>
    <w:tmpl w:val="6DC2078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E799A"/>
    <w:multiLevelType w:val="hybridMultilevel"/>
    <w:tmpl w:val="43629D06"/>
    <w:lvl w:ilvl="0" w:tplc="041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68512AAD"/>
    <w:multiLevelType w:val="hybridMultilevel"/>
    <w:tmpl w:val="D14E1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5264C"/>
    <w:multiLevelType w:val="hybridMultilevel"/>
    <w:tmpl w:val="E646AE2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CB51D57"/>
    <w:multiLevelType w:val="hybridMultilevel"/>
    <w:tmpl w:val="026AF93C"/>
    <w:lvl w:ilvl="0" w:tplc="041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70EE3876"/>
    <w:multiLevelType w:val="hybridMultilevel"/>
    <w:tmpl w:val="6F02F72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FE770C"/>
    <w:multiLevelType w:val="multilevel"/>
    <w:tmpl w:val="96663B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7EB24CC6"/>
    <w:multiLevelType w:val="hybridMultilevel"/>
    <w:tmpl w:val="1090D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5"/>
  </w:num>
  <w:num w:numId="5">
    <w:abstractNumId w:val="33"/>
  </w:num>
  <w:num w:numId="6">
    <w:abstractNumId w:val="6"/>
  </w:num>
  <w:num w:numId="7">
    <w:abstractNumId w:val="24"/>
  </w:num>
  <w:num w:numId="8">
    <w:abstractNumId w:val="3"/>
  </w:num>
  <w:num w:numId="9">
    <w:abstractNumId w:val="14"/>
  </w:num>
  <w:num w:numId="10">
    <w:abstractNumId w:val="8"/>
  </w:num>
  <w:num w:numId="11">
    <w:abstractNumId w:val="31"/>
  </w:num>
  <w:num w:numId="12">
    <w:abstractNumId w:val="15"/>
  </w:num>
  <w:num w:numId="13">
    <w:abstractNumId w:val="0"/>
  </w:num>
  <w:num w:numId="14">
    <w:abstractNumId w:val="30"/>
  </w:num>
  <w:num w:numId="15">
    <w:abstractNumId w:val="27"/>
  </w:num>
  <w:num w:numId="16">
    <w:abstractNumId w:val="7"/>
  </w:num>
  <w:num w:numId="17">
    <w:abstractNumId w:val="20"/>
  </w:num>
  <w:num w:numId="18">
    <w:abstractNumId w:val="17"/>
  </w:num>
  <w:num w:numId="19">
    <w:abstractNumId w:val="1"/>
  </w:num>
  <w:num w:numId="20">
    <w:abstractNumId w:val="10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12"/>
  </w:num>
  <w:num w:numId="26">
    <w:abstractNumId w:val="28"/>
  </w:num>
  <w:num w:numId="27">
    <w:abstractNumId w:val="18"/>
  </w:num>
  <w:num w:numId="28">
    <w:abstractNumId w:val="23"/>
  </w:num>
  <w:num w:numId="29">
    <w:abstractNumId w:val="22"/>
  </w:num>
  <w:num w:numId="30">
    <w:abstractNumId w:val="9"/>
  </w:num>
  <w:num w:numId="31">
    <w:abstractNumId w:val="32"/>
  </w:num>
  <w:num w:numId="32">
    <w:abstractNumId w:val="25"/>
  </w:num>
  <w:num w:numId="33">
    <w:abstractNumId w:val="1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85"/>
    <w:rsid w:val="0000065A"/>
    <w:rsid w:val="00003724"/>
    <w:rsid w:val="00007F69"/>
    <w:rsid w:val="00013D4D"/>
    <w:rsid w:val="00023C87"/>
    <w:rsid w:val="000258A0"/>
    <w:rsid w:val="000300E2"/>
    <w:rsid w:val="00032A43"/>
    <w:rsid w:val="00033CD0"/>
    <w:rsid w:val="00042DC8"/>
    <w:rsid w:val="000503C5"/>
    <w:rsid w:val="000503FC"/>
    <w:rsid w:val="00052FFF"/>
    <w:rsid w:val="00053754"/>
    <w:rsid w:val="000719B5"/>
    <w:rsid w:val="00071EBB"/>
    <w:rsid w:val="00071F64"/>
    <w:rsid w:val="00080814"/>
    <w:rsid w:val="00085CED"/>
    <w:rsid w:val="000860DB"/>
    <w:rsid w:val="00091637"/>
    <w:rsid w:val="0009225F"/>
    <w:rsid w:val="00093E05"/>
    <w:rsid w:val="000A18CA"/>
    <w:rsid w:val="000A4901"/>
    <w:rsid w:val="000A59E0"/>
    <w:rsid w:val="000A6167"/>
    <w:rsid w:val="000B14E5"/>
    <w:rsid w:val="000B48C1"/>
    <w:rsid w:val="000C2EC7"/>
    <w:rsid w:val="000C7662"/>
    <w:rsid w:val="000D601A"/>
    <w:rsid w:val="000E2FBA"/>
    <w:rsid w:val="000E6413"/>
    <w:rsid w:val="000E650F"/>
    <w:rsid w:val="000F5AFD"/>
    <w:rsid w:val="000F7043"/>
    <w:rsid w:val="001006AF"/>
    <w:rsid w:val="00100DA2"/>
    <w:rsid w:val="00101D45"/>
    <w:rsid w:val="00102829"/>
    <w:rsid w:val="00102C0C"/>
    <w:rsid w:val="0010572C"/>
    <w:rsid w:val="00110FB8"/>
    <w:rsid w:val="00111043"/>
    <w:rsid w:val="001155BD"/>
    <w:rsid w:val="00116FB9"/>
    <w:rsid w:val="00130697"/>
    <w:rsid w:val="00131A00"/>
    <w:rsid w:val="0013374F"/>
    <w:rsid w:val="00144B43"/>
    <w:rsid w:val="00145D61"/>
    <w:rsid w:val="00170ED8"/>
    <w:rsid w:val="00171FC0"/>
    <w:rsid w:val="00173735"/>
    <w:rsid w:val="001742CC"/>
    <w:rsid w:val="00181BF6"/>
    <w:rsid w:val="0018361E"/>
    <w:rsid w:val="001853AA"/>
    <w:rsid w:val="0018554F"/>
    <w:rsid w:val="00190718"/>
    <w:rsid w:val="00193EE2"/>
    <w:rsid w:val="001951A3"/>
    <w:rsid w:val="00197320"/>
    <w:rsid w:val="00197E1A"/>
    <w:rsid w:val="001A2A11"/>
    <w:rsid w:val="001B18E4"/>
    <w:rsid w:val="001B6A81"/>
    <w:rsid w:val="001B7983"/>
    <w:rsid w:val="001C4EA5"/>
    <w:rsid w:val="001D58C1"/>
    <w:rsid w:val="001E7B34"/>
    <w:rsid w:val="00204688"/>
    <w:rsid w:val="00212412"/>
    <w:rsid w:val="00215E4B"/>
    <w:rsid w:val="00217FA7"/>
    <w:rsid w:val="00226151"/>
    <w:rsid w:val="002314BF"/>
    <w:rsid w:val="00231AAC"/>
    <w:rsid w:val="00235B0F"/>
    <w:rsid w:val="0024055F"/>
    <w:rsid w:val="00241890"/>
    <w:rsid w:val="00247409"/>
    <w:rsid w:val="00253A69"/>
    <w:rsid w:val="00273C43"/>
    <w:rsid w:val="00284D90"/>
    <w:rsid w:val="00287286"/>
    <w:rsid w:val="002A0680"/>
    <w:rsid w:val="002A0C1C"/>
    <w:rsid w:val="002A5CE3"/>
    <w:rsid w:val="002B0038"/>
    <w:rsid w:val="002B1D8C"/>
    <w:rsid w:val="002B5ECB"/>
    <w:rsid w:val="002C0AD4"/>
    <w:rsid w:val="002D1C91"/>
    <w:rsid w:val="002D57A8"/>
    <w:rsid w:val="002D7F17"/>
    <w:rsid w:val="002F05AC"/>
    <w:rsid w:val="002F2754"/>
    <w:rsid w:val="00304A44"/>
    <w:rsid w:val="00310B24"/>
    <w:rsid w:val="00316411"/>
    <w:rsid w:val="00320C73"/>
    <w:rsid w:val="00331411"/>
    <w:rsid w:val="0033173A"/>
    <w:rsid w:val="00336026"/>
    <w:rsid w:val="00337F8A"/>
    <w:rsid w:val="00346DCC"/>
    <w:rsid w:val="00352BB9"/>
    <w:rsid w:val="003559D1"/>
    <w:rsid w:val="0038448E"/>
    <w:rsid w:val="00385D6F"/>
    <w:rsid w:val="003A15B5"/>
    <w:rsid w:val="003A24C4"/>
    <w:rsid w:val="003A3038"/>
    <w:rsid w:val="003B480C"/>
    <w:rsid w:val="003C50D7"/>
    <w:rsid w:val="003C5AEE"/>
    <w:rsid w:val="003D36AE"/>
    <w:rsid w:val="003D489B"/>
    <w:rsid w:val="003D4DAB"/>
    <w:rsid w:val="003D5CB7"/>
    <w:rsid w:val="003D7B6F"/>
    <w:rsid w:val="003F22AF"/>
    <w:rsid w:val="003F328D"/>
    <w:rsid w:val="003F77F0"/>
    <w:rsid w:val="00411749"/>
    <w:rsid w:val="00412370"/>
    <w:rsid w:val="00415E98"/>
    <w:rsid w:val="004205A2"/>
    <w:rsid w:val="00421855"/>
    <w:rsid w:val="00436129"/>
    <w:rsid w:val="004419E8"/>
    <w:rsid w:val="00441C86"/>
    <w:rsid w:val="00447CD9"/>
    <w:rsid w:val="0045190B"/>
    <w:rsid w:val="00453745"/>
    <w:rsid w:val="0045544C"/>
    <w:rsid w:val="00462D2C"/>
    <w:rsid w:val="00463273"/>
    <w:rsid w:val="0046348E"/>
    <w:rsid w:val="004650F2"/>
    <w:rsid w:val="00466634"/>
    <w:rsid w:val="004706CD"/>
    <w:rsid w:val="00480519"/>
    <w:rsid w:val="00487ADF"/>
    <w:rsid w:val="0049092E"/>
    <w:rsid w:val="004942EB"/>
    <w:rsid w:val="00495093"/>
    <w:rsid w:val="004A0CC8"/>
    <w:rsid w:val="004A1D80"/>
    <w:rsid w:val="004A550E"/>
    <w:rsid w:val="004B005E"/>
    <w:rsid w:val="004B055E"/>
    <w:rsid w:val="004C12A0"/>
    <w:rsid w:val="004C4828"/>
    <w:rsid w:val="004D0426"/>
    <w:rsid w:val="004D07EC"/>
    <w:rsid w:val="004D5483"/>
    <w:rsid w:val="004D54AD"/>
    <w:rsid w:val="004D645E"/>
    <w:rsid w:val="004F33DB"/>
    <w:rsid w:val="004F369D"/>
    <w:rsid w:val="004F4D75"/>
    <w:rsid w:val="00514FEF"/>
    <w:rsid w:val="0052086C"/>
    <w:rsid w:val="005443DE"/>
    <w:rsid w:val="005479ED"/>
    <w:rsid w:val="00550A4A"/>
    <w:rsid w:val="00557390"/>
    <w:rsid w:val="00560122"/>
    <w:rsid w:val="00562D68"/>
    <w:rsid w:val="00573AAA"/>
    <w:rsid w:val="00575AE4"/>
    <w:rsid w:val="0057759B"/>
    <w:rsid w:val="005813C0"/>
    <w:rsid w:val="005817A0"/>
    <w:rsid w:val="00585657"/>
    <w:rsid w:val="00587A2C"/>
    <w:rsid w:val="00587B67"/>
    <w:rsid w:val="005925C2"/>
    <w:rsid w:val="00595299"/>
    <w:rsid w:val="005A4345"/>
    <w:rsid w:val="005A6696"/>
    <w:rsid w:val="005A77C4"/>
    <w:rsid w:val="005B5398"/>
    <w:rsid w:val="005C1737"/>
    <w:rsid w:val="005D419F"/>
    <w:rsid w:val="005D5CA0"/>
    <w:rsid w:val="005D6428"/>
    <w:rsid w:val="005E21DB"/>
    <w:rsid w:val="005E7EC9"/>
    <w:rsid w:val="005F124F"/>
    <w:rsid w:val="005F1DCC"/>
    <w:rsid w:val="005F5D31"/>
    <w:rsid w:val="006004C1"/>
    <w:rsid w:val="00616560"/>
    <w:rsid w:val="00626E04"/>
    <w:rsid w:val="006404DB"/>
    <w:rsid w:val="00641CDE"/>
    <w:rsid w:val="006508F0"/>
    <w:rsid w:val="00663EA0"/>
    <w:rsid w:val="006703AE"/>
    <w:rsid w:val="0067167A"/>
    <w:rsid w:val="0067414A"/>
    <w:rsid w:val="00674235"/>
    <w:rsid w:val="006802C9"/>
    <w:rsid w:val="00680F6A"/>
    <w:rsid w:val="00683829"/>
    <w:rsid w:val="00693CCE"/>
    <w:rsid w:val="00694490"/>
    <w:rsid w:val="006A170D"/>
    <w:rsid w:val="006A5431"/>
    <w:rsid w:val="006B141C"/>
    <w:rsid w:val="006B7A91"/>
    <w:rsid w:val="006B7DE3"/>
    <w:rsid w:val="006D7281"/>
    <w:rsid w:val="006F2BB7"/>
    <w:rsid w:val="006F3C9B"/>
    <w:rsid w:val="006F40CE"/>
    <w:rsid w:val="006F4162"/>
    <w:rsid w:val="006F5CFC"/>
    <w:rsid w:val="006F7CD7"/>
    <w:rsid w:val="007021C1"/>
    <w:rsid w:val="0070418F"/>
    <w:rsid w:val="007060FA"/>
    <w:rsid w:val="00715AC8"/>
    <w:rsid w:val="00720938"/>
    <w:rsid w:val="00731188"/>
    <w:rsid w:val="00737482"/>
    <w:rsid w:val="007444AD"/>
    <w:rsid w:val="007444FC"/>
    <w:rsid w:val="00751D11"/>
    <w:rsid w:val="00757D35"/>
    <w:rsid w:val="00762CF1"/>
    <w:rsid w:val="007648D6"/>
    <w:rsid w:val="00764BB6"/>
    <w:rsid w:val="00764E0F"/>
    <w:rsid w:val="00773F67"/>
    <w:rsid w:val="00775902"/>
    <w:rsid w:val="00782405"/>
    <w:rsid w:val="007829B7"/>
    <w:rsid w:val="00786B73"/>
    <w:rsid w:val="00790426"/>
    <w:rsid w:val="00795223"/>
    <w:rsid w:val="007967A5"/>
    <w:rsid w:val="00797978"/>
    <w:rsid w:val="007B43B3"/>
    <w:rsid w:val="007B5D41"/>
    <w:rsid w:val="007C6C30"/>
    <w:rsid w:val="007D0651"/>
    <w:rsid w:val="007D4BB8"/>
    <w:rsid w:val="007E38E1"/>
    <w:rsid w:val="007E4937"/>
    <w:rsid w:val="007F571B"/>
    <w:rsid w:val="008011B1"/>
    <w:rsid w:val="0081288B"/>
    <w:rsid w:val="00815917"/>
    <w:rsid w:val="008207FC"/>
    <w:rsid w:val="0082228B"/>
    <w:rsid w:val="0082344A"/>
    <w:rsid w:val="0082350F"/>
    <w:rsid w:val="00826B03"/>
    <w:rsid w:val="00826F9D"/>
    <w:rsid w:val="008353B7"/>
    <w:rsid w:val="00850079"/>
    <w:rsid w:val="00850186"/>
    <w:rsid w:val="008543E9"/>
    <w:rsid w:val="00855CFD"/>
    <w:rsid w:val="00860065"/>
    <w:rsid w:val="008614B8"/>
    <w:rsid w:val="008650B6"/>
    <w:rsid w:val="00877BFB"/>
    <w:rsid w:val="0088282E"/>
    <w:rsid w:val="0089794C"/>
    <w:rsid w:val="008A0AFA"/>
    <w:rsid w:val="008A5037"/>
    <w:rsid w:val="008A579E"/>
    <w:rsid w:val="008A585B"/>
    <w:rsid w:val="008A622A"/>
    <w:rsid w:val="008A7838"/>
    <w:rsid w:val="008B7B0F"/>
    <w:rsid w:val="008C100C"/>
    <w:rsid w:val="008C36F5"/>
    <w:rsid w:val="008E06CF"/>
    <w:rsid w:val="008E241F"/>
    <w:rsid w:val="008E7485"/>
    <w:rsid w:val="008F2E0D"/>
    <w:rsid w:val="00901E4D"/>
    <w:rsid w:val="009041E4"/>
    <w:rsid w:val="0091157A"/>
    <w:rsid w:val="0091594A"/>
    <w:rsid w:val="0092760D"/>
    <w:rsid w:val="00935493"/>
    <w:rsid w:val="00943537"/>
    <w:rsid w:val="009470DA"/>
    <w:rsid w:val="0095437E"/>
    <w:rsid w:val="0095537D"/>
    <w:rsid w:val="00967A5B"/>
    <w:rsid w:val="00975FB0"/>
    <w:rsid w:val="0097775F"/>
    <w:rsid w:val="0098678C"/>
    <w:rsid w:val="00987D4D"/>
    <w:rsid w:val="0099262E"/>
    <w:rsid w:val="00992E35"/>
    <w:rsid w:val="009934F8"/>
    <w:rsid w:val="00994CE7"/>
    <w:rsid w:val="00996A93"/>
    <w:rsid w:val="009A031F"/>
    <w:rsid w:val="009A3061"/>
    <w:rsid w:val="009A67DA"/>
    <w:rsid w:val="009A71A4"/>
    <w:rsid w:val="009A73E5"/>
    <w:rsid w:val="009B3666"/>
    <w:rsid w:val="009B435E"/>
    <w:rsid w:val="009B7B81"/>
    <w:rsid w:val="009C3E33"/>
    <w:rsid w:val="009C5FB3"/>
    <w:rsid w:val="009C7512"/>
    <w:rsid w:val="009C7DAB"/>
    <w:rsid w:val="009D328C"/>
    <w:rsid w:val="009D5D0F"/>
    <w:rsid w:val="009D6532"/>
    <w:rsid w:val="009F1DBE"/>
    <w:rsid w:val="009F34D6"/>
    <w:rsid w:val="00A06BB7"/>
    <w:rsid w:val="00A075F9"/>
    <w:rsid w:val="00A1261B"/>
    <w:rsid w:val="00A16A44"/>
    <w:rsid w:val="00A21B9B"/>
    <w:rsid w:val="00A23019"/>
    <w:rsid w:val="00A25F15"/>
    <w:rsid w:val="00A26EF1"/>
    <w:rsid w:val="00A32E14"/>
    <w:rsid w:val="00A33139"/>
    <w:rsid w:val="00A3525B"/>
    <w:rsid w:val="00A4025D"/>
    <w:rsid w:val="00A57209"/>
    <w:rsid w:val="00A63D53"/>
    <w:rsid w:val="00A72CFF"/>
    <w:rsid w:val="00A83770"/>
    <w:rsid w:val="00A92D81"/>
    <w:rsid w:val="00AA408E"/>
    <w:rsid w:val="00AA60C2"/>
    <w:rsid w:val="00AB1B79"/>
    <w:rsid w:val="00AB324B"/>
    <w:rsid w:val="00AB4E74"/>
    <w:rsid w:val="00AB6344"/>
    <w:rsid w:val="00AD360A"/>
    <w:rsid w:val="00AD5A7F"/>
    <w:rsid w:val="00AE5199"/>
    <w:rsid w:val="00AE7DB2"/>
    <w:rsid w:val="00AE7EB6"/>
    <w:rsid w:val="00B02D9D"/>
    <w:rsid w:val="00B05863"/>
    <w:rsid w:val="00B070E1"/>
    <w:rsid w:val="00B119EE"/>
    <w:rsid w:val="00B12AB8"/>
    <w:rsid w:val="00B205C6"/>
    <w:rsid w:val="00B210F5"/>
    <w:rsid w:val="00B2591A"/>
    <w:rsid w:val="00B25D1F"/>
    <w:rsid w:val="00B25EF3"/>
    <w:rsid w:val="00B27A96"/>
    <w:rsid w:val="00B3331A"/>
    <w:rsid w:val="00B34CC0"/>
    <w:rsid w:val="00B3653B"/>
    <w:rsid w:val="00B40202"/>
    <w:rsid w:val="00B45EA0"/>
    <w:rsid w:val="00B7265A"/>
    <w:rsid w:val="00B726C0"/>
    <w:rsid w:val="00B729EE"/>
    <w:rsid w:val="00B75D36"/>
    <w:rsid w:val="00B75DFE"/>
    <w:rsid w:val="00B77DCB"/>
    <w:rsid w:val="00B80740"/>
    <w:rsid w:val="00B80DC2"/>
    <w:rsid w:val="00B81EC1"/>
    <w:rsid w:val="00B846AE"/>
    <w:rsid w:val="00BA4BDE"/>
    <w:rsid w:val="00BB2C0C"/>
    <w:rsid w:val="00BB5367"/>
    <w:rsid w:val="00BB555E"/>
    <w:rsid w:val="00BD2618"/>
    <w:rsid w:val="00BE0973"/>
    <w:rsid w:val="00BE502D"/>
    <w:rsid w:val="00BF01E4"/>
    <w:rsid w:val="00BF0B41"/>
    <w:rsid w:val="00BF24F3"/>
    <w:rsid w:val="00C0152F"/>
    <w:rsid w:val="00C049C1"/>
    <w:rsid w:val="00C05F0D"/>
    <w:rsid w:val="00C129CA"/>
    <w:rsid w:val="00C13FA2"/>
    <w:rsid w:val="00C20210"/>
    <w:rsid w:val="00C20ABF"/>
    <w:rsid w:val="00C236C7"/>
    <w:rsid w:val="00C24F9E"/>
    <w:rsid w:val="00C25AC4"/>
    <w:rsid w:val="00C26201"/>
    <w:rsid w:val="00C30B94"/>
    <w:rsid w:val="00C3309E"/>
    <w:rsid w:val="00C330B9"/>
    <w:rsid w:val="00C45C01"/>
    <w:rsid w:val="00C60D77"/>
    <w:rsid w:val="00C65193"/>
    <w:rsid w:val="00C66657"/>
    <w:rsid w:val="00C667E7"/>
    <w:rsid w:val="00C70568"/>
    <w:rsid w:val="00C90A22"/>
    <w:rsid w:val="00C92A4D"/>
    <w:rsid w:val="00C9438C"/>
    <w:rsid w:val="00CA07BE"/>
    <w:rsid w:val="00CA176B"/>
    <w:rsid w:val="00CA45F1"/>
    <w:rsid w:val="00CA5F24"/>
    <w:rsid w:val="00CA7D98"/>
    <w:rsid w:val="00CB09D3"/>
    <w:rsid w:val="00CB2F9C"/>
    <w:rsid w:val="00CB3ABE"/>
    <w:rsid w:val="00CB4A06"/>
    <w:rsid w:val="00CC1505"/>
    <w:rsid w:val="00CC1E0A"/>
    <w:rsid w:val="00CC580F"/>
    <w:rsid w:val="00CD1448"/>
    <w:rsid w:val="00CD721E"/>
    <w:rsid w:val="00CE487C"/>
    <w:rsid w:val="00CE5928"/>
    <w:rsid w:val="00CF40FC"/>
    <w:rsid w:val="00D0499C"/>
    <w:rsid w:val="00D25AAE"/>
    <w:rsid w:val="00D275EA"/>
    <w:rsid w:val="00D27DB5"/>
    <w:rsid w:val="00D33336"/>
    <w:rsid w:val="00D3517A"/>
    <w:rsid w:val="00D37850"/>
    <w:rsid w:val="00D42E12"/>
    <w:rsid w:val="00D50457"/>
    <w:rsid w:val="00D67884"/>
    <w:rsid w:val="00D711A6"/>
    <w:rsid w:val="00D71364"/>
    <w:rsid w:val="00D73655"/>
    <w:rsid w:val="00D85BE7"/>
    <w:rsid w:val="00D94A4F"/>
    <w:rsid w:val="00DB14EF"/>
    <w:rsid w:val="00DB4782"/>
    <w:rsid w:val="00DB682D"/>
    <w:rsid w:val="00DB7401"/>
    <w:rsid w:val="00DD6445"/>
    <w:rsid w:val="00DE06E2"/>
    <w:rsid w:val="00DE7973"/>
    <w:rsid w:val="00DF2B26"/>
    <w:rsid w:val="00DF610D"/>
    <w:rsid w:val="00E00E64"/>
    <w:rsid w:val="00E13213"/>
    <w:rsid w:val="00E16F56"/>
    <w:rsid w:val="00E21A2E"/>
    <w:rsid w:val="00E34598"/>
    <w:rsid w:val="00E35757"/>
    <w:rsid w:val="00E43FCC"/>
    <w:rsid w:val="00E4434F"/>
    <w:rsid w:val="00E50DE8"/>
    <w:rsid w:val="00E53818"/>
    <w:rsid w:val="00E61FE1"/>
    <w:rsid w:val="00E6209B"/>
    <w:rsid w:val="00E65BA3"/>
    <w:rsid w:val="00E7124E"/>
    <w:rsid w:val="00E765C6"/>
    <w:rsid w:val="00E86C0E"/>
    <w:rsid w:val="00E91A20"/>
    <w:rsid w:val="00EA042E"/>
    <w:rsid w:val="00EA52C1"/>
    <w:rsid w:val="00EB5C7E"/>
    <w:rsid w:val="00EC1B86"/>
    <w:rsid w:val="00EC4031"/>
    <w:rsid w:val="00EC5268"/>
    <w:rsid w:val="00ED52CC"/>
    <w:rsid w:val="00EE165C"/>
    <w:rsid w:val="00EE4043"/>
    <w:rsid w:val="00F01487"/>
    <w:rsid w:val="00F06CFF"/>
    <w:rsid w:val="00F11F09"/>
    <w:rsid w:val="00F12EB3"/>
    <w:rsid w:val="00F1708B"/>
    <w:rsid w:val="00F267FC"/>
    <w:rsid w:val="00F27323"/>
    <w:rsid w:val="00F35AA4"/>
    <w:rsid w:val="00F40AA9"/>
    <w:rsid w:val="00F42F3B"/>
    <w:rsid w:val="00F45A6F"/>
    <w:rsid w:val="00F45D19"/>
    <w:rsid w:val="00F47B0D"/>
    <w:rsid w:val="00F50A5C"/>
    <w:rsid w:val="00F54D47"/>
    <w:rsid w:val="00F56C44"/>
    <w:rsid w:val="00F6487A"/>
    <w:rsid w:val="00F6578B"/>
    <w:rsid w:val="00F70987"/>
    <w:rsid w:val="00F85149"/>
    <w:rsid w:val="00F85880"/>
    <w:rsid w:val="00F85B5D"/>
    <w:rsid w:val="00F9764F"/>
    <w:rsid w:val="00FA04FF"/>
    <w:rsid w:val="00FA6229"/>
    <w:rsid w:val="00FA7CFE"/>
    <w:rsid w:val="00FB43FD"/>
    <w:rsid w:val="00FB6481"/>
    <w:rsid w:val="00FC2C44"/>
    <w:rsid w:val="00FC2DAE"/>
    <w:rsid w:val="00FC4026"/>
    <w:rsid w:val="00FD21F1"/>
    <w:rsid w:val="00FD2850"/>
    <w:rsid w:val="00FE3B3C"/>
    <w:rsid w:val="00FE4602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0C112"/>
  <w15:chartTrackingRefBased/>
  <w15:docId w15:val="{907F1B83-DBD8-4743-B76E-8D8B9D18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018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75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7E1A"/>
  </w:style>
  <w:style w:type="paragraph" w:styleId="Podnoje">
    <w:name w:val="footer"/>
    <w:basedOn w:val="Normal"/>
    <w:link w:val="PodnojeChar"/>
    <w:uiPriority w:val="99"/>
    <w:unhideWhenUsed/>
    <w:rsid w:val="001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7E1A"/>
  </w:style>
  <w:style w:type="paragraph" w:styleId="Bezproreda">
    <w:name w:val="No Spacing"/>
    <w:link w:val="BezproredaChar"/>
    <w:uiPriority w:val="1"/>
    <w:qFormat/>
    <w:rsid w:val="00197E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97E1A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2B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1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57A"/>
    <w:rPr>
      <w:rFonts w:ascii="Segoe UI" w:hAnsi="Segoe UI" w:cs="Segoe UI"/>
      <w:sz w:val="18"/>
      <w:szCs w:val="18"/>
    </w:rPr>
  </w:style>
  <w:style w:type="paragraph" w:styleId="Sadraj1">
    <w:name w:val="toc 1"/>
    <w:basedOn w:val="Normal"/>
    <w:next w:val="Normal"/>
    <w:autoRedefine/>
    <w:uiPriority w:val="39"/>
    <w:unhideWhenUsed/>
    <w:rsid w:val="00053754"/>
    <w:pPr>
      <w:tabs>
        <w:tab w:val="left" w:pos="440"/>
        <w:tab w:val="right" w:leader="dot" w:pos="9628"/>
      </w:tabs>
      <w:spacing w:before="240" w:after="120"/>
    </w:pPr>
    <w:rPr>
      <w:rFonts w:cstheme="minorHAnsi"/>
      <w:b/>
      <w:bCs/>
      <w:noProof/>
      <w:sz w:val="28"/>
      <w:szCs w:val="28"/>
    </w:rPr>
  </w:style>
  <w:style w:type="paragraph" w:styleId="Sadraj2">
    <w:name w:val="toc 2"/>
    <w:basedOn w:val="Normal"/>
    <w:next w:val="Normal"/>
    <w:autoRedefine/>
    <w:uiPriority w:val="39"/>
    <w:unhideWhenUsed/>
    <w:rsid w:val="00023C87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023C87"/>
    <w:pPr>
      <w:spacing w:after="0"/>
      <w:ind w:left="440"/>
    </w:pPr>
    <w:rPr>
      <w:rFonts w:cstheme="minorHAnsi"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023C87"/>
    <w:pPr>
      <w:spacing w:after="0"/>
      <w:ind w:left="660"/>
    </w:pPr>
    <w:rPr>
      <w:rFonts w:cstheme="minorHAnsi"/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unhideWhenUsed/>
    <w:rsid w:val="00023C87"/>
    <w:pPr>
      <w:spacing w:after="0"/>
      <w:ind w:left="880"/>
    </w:pPr>
    <w:rPr>
      <w:rFonts w:cstheme="minorHAnsi"/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unhideWhenUsed/>
    <w:rsid w:val="00023C87"/>
    <w:pPr>
      <w:spacing w:after="0"/>
      <w:ind w:left="1100"/>
    </w:pPr>
    <w:rPr>
      <w:rFonts w:cstheme="minorHAnsi"/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unhideWhenUsed/>
    <w:rsid w:val="00023C87"/>
    <w:pPr>
      <w:spacing w:after="0"/>
      <w:ind w:left="1320"/>
    </w:pPr>
    <w:rPr>
      <w:rFonts w:cstheme="minorHAnsi"/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unhideWhenUsed/>
    <w:rsid w:val="00023C87"/>
    <w:pPr>
      <w:spacing w:after="0"/>
      <w:ind w:left="1540"/>
    </w:pPr>
    <w:rPr>
      <w:rFonts w:cstheme="minorHAnsi"/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unhideWhenUsed/>
    <w:rsid w:val="00023C87"/>
    <w:pPr>
      <w:spacing w:after="0"/>
      <w:ind w:left="1760"/>
    </w:pPr>
    <w:rPr>
      <w:rFonts w:cstheme="minorHAnsi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850186"/>
    <w:rPr>
      <w:rFonts w:eastAsiaTheme="majorEastAsia" w:cstheme="majorBidi"/>
      <w:b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23C87"/>
    <w:pPr>
      <w:outlineLvl w:val="9"/>
    </w:pPr>
    <w:rPr>
      <w:lang w:eastAsia="hr-HR"/>
    </w:rPr>
  </w:style>
  <w:style w:type="character" w:styleId="Hiperveza">
    <w:name w:val="Hyperlink"/>
    <w:basedOn w:val="Zadanifontodlomka"/>
    <w:uiPriority w:val="99"/>
    <w:unhideWhenUsed/>
    <w:rsid w:val="00AD3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7DDD-F1FB-41A6-B472-6C46797E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15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Čačija Dubravka</dc:creator>
  <cp:keywords/>
  <dc:description/>
  <cp:lastModifiedBy>Čačija Dubravka</cp:lastModifiedBy>
  <cp:revision>129</cp:revision>
  <cp:lastPrinted>2025-10-13T10:23:00Z</cp:lastPrinted>
  <dcterms:created xsi:type="dcterms:W3CDTF">2024-09-17T12:25:00Z</dcterms:created>
  <dcterms:modified xsi:type="dcterms:W3CDTF">2025-10-14T11:12:00Z</dcterms:modified>
</cp:coreProperties>
</file>